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DF2" w14:textId="3DF02FCB" w:rsidR="00A008B1" w:rsidRPr="00096A03" w:rsidRDefault="00A008B1" w:rsidP="00A008B1">
      <w:pPr>
        <w:pStyle w:val="Title"/>
        <w:rPr>
          <w:rFonts w:cstheme="majorHAnsi"/>
        </w:rPr>
      </w:pPr>
      <w:r w:rsidRPr="00096A03">
        <w:rPr>
          <w:rFonts w:cstheme="majorHAnsi"/>
          <w:b/>
          <w:smallCaps/>
          <w:noProof/>
          <w:sz w:val="40"/>
        </w:rPr>
        <w:drawing>
          <wp:anchor distT="0" distB="0" distL="114300" distR="114300" simplePos="0" relativeHeight="251658240" behindDoc="0" locked="0" layoutInCell="1" allowOverlap="1" wp14:anchorId="4C7C6B11" wp14:editId="5777358B">
            <wp:simplePos x="0" y="0"/>
            <wp:positionH relativeFrom="margin">
              <wp:align>right</wp:align>
            </wp:positionH>
            <wp:positionV relativeFrom="paragraph">
              <wp:posOffset>0</wp:posOffset>
            </wp:positionV>
            <wp:extent cx="1744980" cy="914400"/>
            <wp:effectExtent l="0" t="0" r="7620" b="0"/>
            <wp:wrapNone/>
            <wp:docPr id="3" name="Picture 3" descr="SONI_2015_Colour_Low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NI_2015_Colour_Low_Re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449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A03">
        <w:rPr>
          <w:rFonts w:cstheme="majorHAnsi"/>
          <w:b/>
          <w:smallCaps/>
          <w:sz w:val="40"/>
        </w:rPr>
        <w:t>Derogation Request F</w:t>
      </w:r>
      <w:r w:rsidR="00D70E0D">
        <w:rPr>
          <w:rFonts w:cstheme="majorHAnsi"/>
          <w:b/>
          <w:smallCaps/>
          <w:sz w:val="40"/>
        </w:rPr>
        <w:t>orm</w:t>
      </w:r>
    </w:p>
    <w:p w14:paraId="2C655111" w14:textId="77777777" w:rsidR="00A008B1" w:rsidRPr="00096A03" w:rsidRDefault="00A008B1" w:rsidP="00A008B1">
      <w:pPr>
        <w:rPr>
          <w:rFonts w:asciiTheme="majorHAnsi" w:hAnsiTheme="majorHAnsi" w:cstheme="majorHAnsi"/>
        </w:rPr>
      </w:pPr>
    </w:p>
    <w:p w14:paraId="2F4E0EA4" w14:textId="77777777" w:rsidR="00A008B1" w:rsidRPr="00096A03" w:rsidRDefault="00A008B1" w:rsidP="00A008B1">
      <w:pPr>
        <w:rPr>
          <w:rFonts w:asciiTheme="majorHAnsi" w:hAnsiTheme="majorHAnsi" w:cstheme="majorHAnsi"/>
        </w:rPr>
      </w:pPr>
    </w:p>
    <w:p w14:paraId="405C3F9D" w14:textId="77777777" w:rsidR="00A008B1" w:rsidRPr="00096A03" w:rsidRDefault="00A008B1" w:rsidP="00A008B1">
      <w:pPr>
        <w:rPr>
          <w:rFonts w:asciiTheme="majorHAnsi" w:hAnsiTheme="majorHAnsi" w:cstheme="majorHAnsi"/>
        </w:rPr>
      </w:pPr>
    </w:p>
    <w:p w14:paraId="3CA7810A" w14:textId="2B9B1D3A" w:rsidR="00A008B1" w:rsidRPr="00096A03" w:rsidRDefault="00A008B1" w:rsidP="00A008B1">
      <w:pPr>
        <w:ind w:right="454"/>
        <w:jc w:val="right"/>
        <w:rPr>
          <w:rFonts w:asciiTheme="majorHAnsi" w:hAnsiTheme="majorHAnsi" w:cstheme="majorHAnsi"/>
          <w:b/>
          <w:smallCaps/>
          <w:snapToGrid w:val="0"/>
          <w:sz w:val="32"/>
          <w:szCs w:val="32"/>
        </w:rPr>
      </w:pPr>
      <w:r w:rsidRPr="00096A03">
        <w:rPr>
          <w:rFonts w:asciiTheme="majorHAnsi" w:hAnsiTheme="majorHAnsi" w:cstheme="majorHAnsi"/>
          <w:b/>
          <w:smallCaps/>
          <w:snapToGrid w:val="0"/>
          <w:sz w:val="32"/>
          <w:szCs w:val="32"/>
        </w:rPr>
        <w:t xml:space="preserve">e-mail: </w:t>
      </w:r>
      <w:hyperlink r:id="rId13" w:history="1">
        <w:r w:rsidRPr="00096A03">
          <w:rPr>
            <w:rStyle w:val="Hyperlink"/>
            <w:rFonts w:asciiTheme="majorHAnsi" w:hAnsiTheme="majorHAnsi" w:cstheme="majorHAnsi"/>
            <w:b/>
            <w:smallCaps/>
            <w:snapToGrid w:val="0"/>
            <w:sz w:val="32"/>
            <w:szCs w:val="32"/>
          </w:rPr>
          <w:t>gridcode@soni.ltd.uk</w:t>
        </w:r>
      </w:hyperlink>
    </w:p>
    <w:p w14:paraId="528E0218" w14:textId="77777777" w:rsidR="00D13AFE" w:rsidRDefault="00D13AFE" w:rsidP="00A008B1"/>
    <w:p w14:paraId="2F52E04F" w14:textId="2CF3400A" w:rsidR="00E81EF7" w:rsidRDefault="00A008B1" w:rsidP="00441296">
      <w:pPr>
        <w:pStyle w:val="Heading1"/>
        <w:rPr>
          <w:b/>
          <w:smallCaps/>
        </w:rPr>
      </w:pPr>
      <w:r w:rsidRPr="00096A03">
        <w:rPr>
          <w:rStyle w:val="Heading1Char"/>
          <w:rFonts w:cstheme="majorHAnsi"/>
        </w:rPr>
        <w:t>D</w:t>
      </w:r>
      <w:r w:rsidR="00096A03">
        <w:rPr>
          <w:rStyle w:val="Heading1Char"/>
          <w:rFonts w:cstheme="majorHAnsi"/>
        </w:rPr>
        <w:t>erogation Application Number</w:t>
      </w:r>
      <w:r w:rsidRPr="00096A03">
        <w:rPr>
          <w:rStyle w:val="Heading1Char"/>
          <w:rFonts w:cstheme="majorHAnsi"/>
        </w:rPr>
        <w:t xml:space="preserve"> </w:t>
      </w:r>
      <w:r w:rsidR="00096A03">
        <w:rPr>
          <w:rStyle w:val="Heading1Char"/>
          <w:rFonts w:cstheme="majorHAnsi"/>
        </w:rPr>
        <w:t>(</w:t>
      </w:r>
      <w:r w:rsidRPr="00096A03">
        <w:rPr>
          <w:rStyle w:val="Heading1Char"/>
          <w:rFonts w:cstheme="majorHAnsi"/>
        </w:rPr>
        <w:t>MM_YYYY_XX</w:t>
      </w:r>
      <w:r w:rsidR="00096A03">
        <w:rPr>
          <w:rStyle w:val="Heading1Char"/>
          <w:rFonts w:cstheme="majorHAnsi"/>
        </w:rPr>
        <w:t>)</w:t>
      </w:r>
      <w:r w:rsidRPr="00096A03">
        <w:rPr>
          <w:b/>
          <w:smallCaps/>
        </w:rPr>
        <w:t xml:space="preserve"> </w:t>
      </w:r>
    </w:p>
    <w:p w14:paraId="683AAFCF" w14:textId="748883EE" w:rsidR="00A008B1" w:rsidRDefault="00441296" w:rsidP="00A008B1">
      <w:pPr>
        <w:rPr>
          <w:rFonts w:asciiTheme="majorHAnsi" w:hAnsiTheme="majorHAnsi" w:cstheme="majorHAnsi"/>
        </w:rPr>
      </w:pPr>
      <w:r>
        <w:rPr>
          <w:rFonts w:asciiTheme="majorHAnsi" w:hAnsiTheme="majorHAnsi" w:cstheme="majorHAnsi"/>
        </w:rPr>
        <w:t>To be supplied by SONI</w:t>
      </w:r>
    </w:p>
    <w:p w14:paraId="496B1DDC" w14:textId="77777777" w:rsidR="0073207E" w:rsidRPr="00096A03" w:rsidRDefault="0073207E" w:rsidP="00A008B1">
      <w:pPr>
        <w:rPr>
          <w:rFonts w:asciiTheme="majorHAnsi" w:hAnsiTheme="majorHAnsi" w:cstheme="majorHAnsi"/>
        </w:rPr>
      </w:pPr>
    </w:p>
    <w:p w14:paraId="54A44264" w14:textId="4EAB9147" w:rsidR="00A008B1" w:rsidRPr="00096A03" w:rsidRDefault="00A008B1" w:rsidP="00441296">
      <w:r w:rsidRPr="00096A03">
        <w:rPr>
          <w:rStyle w:val="Heading1Char"/>
          <w:rFonts w:cstheme="majorHAnsi"/>
        </w:rPr>
        <w:t xml:space="preserve">Details of the applicant </w:t>
      </w:r>
      <w:r w:rsidR="00E81EF7">
        <w:rPr>
          <w:rStyle w:val="Heading1Char"/>
          <w:rFonts w:cstheme="majorHAnsi"/>
        </w:rPr>
        <w:br/>
      </w:r>
      <w:r w:rsidR="00D13AFE">
        <w:t>Details of the applicant, including the full name and address of the licensee concerned</w:t>
      </w:r>
    </w:p>
    <w:p w14:paraId="38223283" w14:textId="76755723" w:rsidR="00A008B1" w:rsidRPr="00096A03" w:rsidRDefault="00A008B1" w:rsidP="00441296"/>
    <w:p w14:paraId="4369A55E" w14:textId="2B2B680E" w:rsidR="004148AF" w:rsidRDefault="00A008B1" w:rsidP="00441296">
      <w:pPr>
        <w:pStyle w:val="Heading1"/>
      </w:pPr>
      <w:r w:rsidRPr="00096A03">
        <w:rPr>
          <w:rStyle w:val="Heading1Char"/>
          <w:rFonts w:cstheme="majorHAnsi"/>
        </w:rPr>
        <w:t>A clear description of the non-compliance</w:t>
      </w:r>
      <w:r w:rsidR="00D13AFE">
        <w:rPr>
          <w:rStyle w:val="FootnoteReference"/>
        </w:rPr>
        <w:footnoteReference w:id="1"/>
      </w:r>
      <w:r w:rsidRPr="00096A03">
        <w:t xml:space="preserve"> </w:t>
      </w:r>
    </w:p>
    <w:p w14:paraId="737FB8E9" w14:textId="713D51A6" w:rsidR="00A008B1" w:rsidRDefault="00A008B1" w:rsidP="00441296">
      <w:pPr>
        <w:pStyle w:val="Heading2"/>
      </w:pPr>
      <w:r w:rsidRPr="00096A03">
        <w:t xml:space="preserve">The provision(s) of the relevant code, standard or licence to which the non-compliance </w:t>
      </w:r>
      <w:r w:rsidR="00CC2E4F" w:rsidRPr="00096A03">
        <w:t>relates</w:t>
      </w:r>
    </w:p>
    <w:p w14:paraId="5F536651" w14:textId="77777777" w:rsidR="00096A03" w:rsidRDefault="00096A03" w:rsidP="00441296"/>
    <w:p w14:paraId="2DDDFD3D" w14:textId="77777777" w:rsidR="00096A03" w:rsidRPr="00096A03" w:rsidRDefault="00096A03" w:rsidP="00441296"/>
    <w:p w14:paraId="7CF9F12D" w14:textId="3BA98418" w:rsidR="00A008B1" w:rsidRPr="00441296" w:rsidRDefault="004148AF" w:rsidP="00441296">
      <w:pPr>
        <w:pStyle w:val="Heading2"/>
      </w:pPr>
      <w:r w:rsidRPr="00441296">
        <w:t>Asset</w:t>
      </w:r>
      <w:r w:rsidR="00A008B1" w:rsidRPr="00441296">
        <w:t xml:space="preserve"> to which the derogation </w:t>
      </w:r>
      <w:r w:rsidR="00CC2E4F" w:rsidRPr="00441296">
        <w:t>relates</w:t>
      </w:r>
    </w:p>
    <w:p w14:paraId="5281AFF7" w14:textId="77777777" w:rsidR="00096A03" w:rsidRDefault="00096A03" w:rsidP="00441296"/>
    <w:p w14:paraId="7DD352AA" w14:textId="77777777" w:rsidR="00441296" w:rsidRPr="00096A03" w:rsidRDefault="00441296" w:rsidP="00441296"/>
    <w:p w14:paraId="3EFB1C70" w14:textId="67F1FF96" w:rsidR="00A008B1" w:rsidRPr="00441296" w:rsidRDefault="00A008B1" w:rsidP="00441296">
      <w:pPr>
        <w:pStyle w:val="Heading2"/>
      </w:pPr>
      <w:r w:rsidRPr="00441296">
        <w:t>The required performance</w:t>
      </w:r>
    </w:p>
    <w:p w14:paraId="789DB385" w14:textId="77777777" w:rsidR="00096A03" w:rsidRDefault="00096A03" w:rsidP="00441296"/>
    <w:p w14:paraId="1D6CF5ED" w14:textId="77777777" w:rsidR="00441296" w:rsidRDefault="00441296" w:rsidP="00441296"/>
    <w:p w14:paraId="155CDC44" w14:textId="49E7003F" w:rsidR="004148AF" w:rsidRPr="00441296" w:rsidRDefault="00A008B1" w:rsidP="00441296">
      <w:pPr>
        <w:pStyle w:val="Heading2"/>
      </w:pPr>
      <w:r w:rsidRPr="00441296">
        <w:t>The existing capability of the system or plant</w:t>
      </w:r>
    </w:p>
    <w:p w14:paraId="5CAC3CD6" w14:textId="77777777" w:rsidR="004148AF" w:rsidRDefault="004148AF" w:rsidP="004148AF">
      <w:pPr>
        <w:rPr>
          <w:rFonts w:asciiTheme="majorHAnsi" w:hAnsiTheme="majorHAnsi" w:cstheme="majorHAnsi"/>
        </w:rPr>
      </w:pPr>
    </w:p>
    <w:p w14:paraId="7C1C5B15" w14:textId="2683F462" w:rsidR="00CC2E4F" w:rsidRDefault="00CC2E4F" w:rsidP="00D13AFE">
      <w:pPr>
        <w:rPr>
          <w:rStyle w:val="Heading1Char"/>
          <w:rFonts w:cstheme="majorHAnsi"/>
        </w:rPr>
      </w:pPr>
    </w:p>
    <w:p w14:paraId="0B82897D" w14:textId="3E015A29" w:rsidR="004148AF" w:rsidRDefault="00A008B1" w:rsidP="00441296">
      <w:pPr>
        <w:pStyle w:val="Heading1"/>
        <w:rPr>
          <w:rStyle w:val="Heading1Char"/>
          <w:rFonts w:cstheme="majorHAnsi"/>
        </w:rPr>
      </w:pPr>
      <w:r w:rsidRPr="00096A03">
        <w:rPr>
          <w:rStyle w:val="Heading1Char"/>
          <w:rFonts w:cstheme="majorHAnsi"/>
        </w:rPr>
        <w:t xml:space="preserve">A clear description of the reasons why the non-compliance has occurred or is expected to </w:t>
      </w:r>
      <w:r w:rsidR="00CC2E4F" w:rsidRPr="00096A03">
        <w:rPr>
          <w:rStyle w:val="Heading1Char"/>
          <w:rFonts w:cstheme="majorHAnsi"/>
        </w:rPr>
        <w:t>occur</w:t>
      </w:r>
    </w:p>
    <w:p w14:paraId="5CCED5F1" w14:textId="77777777" w:rsidR="00A008B1" w:rsidRDefault="00A008B1">
      <w:pPr>
        <w:rPr>
          <w:rFonts w:asciiTheme="majorHAnsi" w:hAnsiTheme="majorHAnsi" w:cstheme="majorHAnsi"/>
        </w:rPr>
      </w:pPr>
    </w:p>
    <w:p w14:paraId="240C8BC0" w14:textId="77777777" w:rsidR="00441296" w:rsidRPr="00096A03" w:rsidRDefault="00441296">
      <w:pPr>
        <w:rPr>
          <w:rFonts w:asciiTheme="majorHAnsi" w:hAnsiTheme="majorHAnsi" w:cstheme="majorHAnsi"/>
        </w:rPr>
      </w:pPr>
    </w:p>
    <w:p w14:paraId="5E7C3018" w14:textId="404E7A7D" w:rsidR="00A008B1" w:rsidRDefault="00A008B1" w:rsidP="00441296">
      <w:pPr>
        <w:pStyle w:val="Heading1"/>
        <w:rPr>
          <w:rStyle w:val="Heading1Char"/>
          <w:rFonts w:cstheme="majorHAnsi"/>
        </w:rPr>
      </w:pPr>
      <w:r w:rsidRPr="00096A03">
        <w:rPr>
          <w:rStyle w:val="Heading1Char"/>
          <w:rFonts w:cstheme="majorHAnsi"/>
        </w:rPr>
        <w:t xml:space="preserve">The proposed duration of the derogation </w:t>
      </w:r>
      <w:r w:rsidR="00CC2E4F" w:rsidRPr="00096A03">
        <w:rPr>
          <w:rStyle w:val="Heading1Char"/>
          <w:rFonts w:cstheme="majorHAnsi"/>
        </w:rPr>
        <w:t>requested</w:t>
      </w:r>
    </w:p>
    <w:p w14:paraId="13D34D44" w14:textId="77777777" w:rsidR="00A008B1" w:rsidRDefault="00A008B1">
      <w:pPr>
        <w:rPr>
          <w:rFonts w:asciiTheme="majorHAnsi" w:hAnsiTheme="majorHAnsi" w:cstheme="majorHAnsi"/>
        </w:rPr>
      </w:pPr>
    </w:p>
    <w:p w14:paraId="62C34D28" w14:textId="77777777" w:rsidR="006945B0" w:rsidRPr="00096A03" w:rsidRDefault="006945B0">
      <w:pPr>
        <w:rPr>
          <w:rFonts w:asciiTheme="majorHAnsi" w:hAnsiTheme="majorHAnsi" w:cstheme="majorHAnsi"/>
        </w:rPr>
      </w:pPr>
    </w:p>
    <w:p w14:paraId="219ACD31" w14:textId="486A7BB9" w:rsidR="00A008B1" w:rsidRPr="00096A03" w:rsidRDefault="00A008B1" w:rsidP="00441296">
      <w:pPr>
        <w:pStyle w:val="Heading1"/>
      </w:pPr>
      <w:r w:rsidRPr="00096A03">
        <w:rPr>
          <w:rStyle w:val="Heading1Char"/>
          <w:rFonts w:cstheme="majorHAnsi"/>
        </w:rPr>
        <w:t>A comprehensive and, wherever possible, quantitative assessment</w:t>
      </w:r>
      <w:r w:rsidR="00D13AFE">
        <w:rPr>
          <w:rStyle w:val="FootnoteReference"/>
          <w:rFonts w:cstheme="majorHAnsi"/>
        </w:rPr>
        <w:footnoteReference w:id="2"/>
      </w:r>
      <w:r w:rsidRPr="00096A03">
        <w:rPr>
          <w:rStyle w:val="Heading1Char"/>
          <w:rFonts w:cstheme="majorHAnsi"/>
        </w:rPr>
        <w:t>, of the impact and risks of the non-compliance</w:t>
      </w:r>
    </w:p>
    <w:p w14:paraId="44634FDD" w14:textId="1DBDF257" w:rsidR="0048770A" w:rsidRPr="00441296" w:rsidRDefault="00A008B1" w:rsidP="00441296">
      <w:pPr>
        <w:pStyle w:val="Heading2"/>
      </w:pPr>
      <w:r w:rsidRPr="00441296">
        <w:t xml:space="preserve">Consumers; the extent to which the non-compliance impacts on consumers, for example through increased costs </w:t>
      </w:r>
    </w:p>
    <w:p w14:paraId="77E61A4B" w14:textId="77777777" w:rsidR="0048770A" w:rsidRDefault="0048770A" w:rsidP="00441296"/>
    <w:p w14:paraId="6732A481" w14:textId="77777777" w:rsidR="00441296" w:rsidRPr="0048770A" w:rsidRDefault="00441296" w:rsidP="00441296"/>
    <w:p w14:paraId="6D3942E2" w14:textId="1B06C0C9" w:rsidR="00A008B1" w:rsidRPr="00441296" w:rsidRDefault="00A008B1" w:rsidP="00441296">
      <w:pPr>
        <w:pStyle w:val="Heading2"/>
      </w:pPr>
      <w:r w:rsidRPr="00441296">
        <w:t xml:space="preserve">Security of supply; the extent to which the proposed derogation may impact upon security of </w:t>
      </w:r>
      <w:r w:rsidR="00CC2E4F" w:rsidRPr="00441296">
        <w:t>supply</w:t>
      </w:r>
    </w:p>
    <w:p w14:paraId="14DA4B9B" w14:textId="77777777" w:rsidR="0048770A" w:rsidRDefault="0048770A" w:rsidP="0048770A"/>
    <w:p w14:paraId="779B558C" w14:textId="77777777" w:rsidR="00441296" w:rsidRPr="0048770A" w:rsidRDefault="00441296" w:rsidP="0048770A"/>
    <w:p w14:paraId="7D55E3FD" w14:textId="1872C064" w:rsidR="00A008B1" w:rsidRPr="00441296" w:rsidRDefault="00A008B1" w:rsidP="00441296">
      <w:pPr>
        <w:pStyle w:val="Heading2"/>
      </w:pPr>
      <w:r w:rsidRPr="00441296">
        <w:t>Competition: for example, details of any competitive advantage that may arise if the derogation request is approved</w:t>
      </w:r>
    </w:p>
    <w:p w14:paraId="7E7B26B3" w14:textId="77777777" w:rsidR="0048770A" w:rsidRDefault="0048770A" w:rsidP="0048770A"/>
    <w:p w14:paraId="309E1AB5" w14:textId="77777777" w:rsidR="00441296" w:rsidRPr="0048770A" w:rsidRDefault="00441296" w:rsidP="0048770A"/>
    <w:p w14:paraId="7E0EA430" w14:textId="054B8B02" w:rsidR="00A008B1" w:rsidRPr="00441296" w:rsidRDefault="00A008B1" w:rsidP="00441296">
      <w:pPr>
        <w:pStyle w:val="Heading2"/>
      </w:pPr>
      <w:r w:rsidRPr="00441296">
        <w:t xml:space="preserve">Sustainable development: the potential environmental costs or benefits if the derogation request is approved and/or the implications if the request is not </w:t>
      </w:r>
      <w:r w:rsidR="00CC2E4F" w:rsidRPr="00441296">
        <w:t>approved</w:t>
      </w:r>
    </w:p>
    <w:p w14:paraId="2F6C8C15" w14:textId="77777777" w:rsidR="0048770A" w:rsidRDefault="0048770A" w:rsidP="00441296"/>
    <w:p w14:paraId="04BFEFFD" w14:textId="77777777" w:rsidR="00441296" w:rsidRDefault="00441296" w:rsidP="00441296"/>
    <w:p w14:paraId="3B42D28D" w14:textId="7E2491EC" w:rsidR="00A008B1" w:rsidRPr="00441296" w:rsidRDefault="00A008B1" w:rsidP="00441296">
      <w:pPr>
        <w:pStyle w:val="Heading2"/>
      </w:pPr>
      <w:r w:rsidRPr="00441296">
        <w:t>Health and safety: Demonstrate that there are no health and safety implications that may arise due to the derogation along with relevant risk management measures. In this regard, the UR may seek expert advice from the relevant government bodies and other organisations</w:t>
      </w:r>
    </w:p>
    <w:p w14:paraId="7D68C06A" w14:textId="77777777" w:rsidR="0048770A" w:rsidRDefault="0048770A" w:rsidP="00441296"/>
    <w:p w14:paraId="613EA445" w14:textId="77777777" w:rsidR="00441296" w:rsidRDefault="00441296" w:rsidP="00441296"/>
    <w:p w14:paraId="2BAE8AF4" w14:textId="5BFF143A" w:rsidR="00A008B1" w:rsidRPr="00441296" w:rsidRDefault="00A008B1" w:rsidP="00441296">
      <w:pPr>
        <w:pStyle w:val="Heading2"/>
      </w:pPr>
      <w:r w:rsidRPr="00441296">
        <w:t xml:space="preserve">Other parties affected: parties affected by the non-compliance, including the ability of the system operator to operate its </w:t>
      </w:r>
      <w:r w:rsidR="00CC2E4F" w:rsidRPr="00441296">
        <w:t>system</w:t>
      </w:r>
    </w:p>
    <w:p w14:paraId="7E90933E" w14:textId="77777777" w:rsidR="0048770A" w:rsidRDefault="0048770A" w:rsidP="0048770A"/>
    <w:p w14:paraId="79B5CD9A" w14:textId="77777777" w:rsidR="00441296" w:rsidRDefault="00441296" w:rsidP="0048770A"/>
    <w:p w14:paraId="6B4725E8" w14:textId="1F557DA0" w:rsidR="00A008B1" w:rsidRDefault="00A008B1" w:rsidP="0048770A">
      <w:pPr>
        <w:pStyle w:val="Heading2"/>
      </w:pPr>
      <w:r w:rsidRPr="00096A03">
        <w:lastRenderedPageBreak/>
        <w:t>Government Policy: the extent to which the non-compliance impacts on the implementation of Government Policy</w:t>
      </w:r>
    </w:p>
    <w:p w14:paraId="2E4F00FE" w14:textId="77777777" w:rsidR="0048770A" w:rsidRDefault="0048770A" w:rsidP="00441296"/>
    <w:p w14:paraId="158654F3" w14:textId="77777777" w:rsidR="00441296" w:rsidRPr="0048770A" w:rsidRDefault="00441296" w:rsidP="00441296"/>
    <w:p w14:paraId="0C3A57AF" w14:textId="2DC13553" w:rsidR="00A008B1" w:rsidRPr="00096A03" w:rsidRDefault="00A008B1" w:rsidP="00441296">
      <w:pPr>
        <w:pStyle w:val="Heading1"/>
      </w:pPr>
      <w:r w:rsidRPr="00096A03">
        <w:rPr>
          <w:rStyle w:val="Heading1Char"/>
          <w:rFonts w:cstheme="majorHAnsi"/>
        </w:rPr>
        <w:t xml:space="preserve">A description of the alternative actions that have been considered, for example in restoring compliance, and the associated </w:t>
      </w:r>
      <w:r w:rsidR="00CC2E4F" w:rsidRPr="00096A03">
        <w:rPr>
          <w:rStyle w:val="Heading1Char"/>
          <w:rFonts w:cstheme="majorHAnsi"/>
        </w:rPr>
        <w:t>costs</w:t>
      </w:r>
    </w:p>
    <w:p w14:paraId="47B2CCD9" w14:textId="77777777" w:rsidR="00A008B1" w:rsidRDefault="00A008B1" w:rsidP="00441296"/>
    <w:p w14:paraId="18D51C7C" w14:textId="77777777" w:rsidR="00441296" w:rsidRPr="00096A03" w:rsidRDefault="00441296" w:rsidP="00441296"/>
    <w:p w14:paraId="727D0964" w14:textId="68276E97" w:rsidR="0051492F" w:rsidRPr="00441296" w:rsidRDefault="00A008B1" w:rsidP="00441296">
      <w:pPr>
        <w:pStyle w:val="Heading1"/>
      </w:pPr>
      <w:r w:rsidRPr="00441296">
        <w:t>If applicable, a description of the proposal for restoring compliance including a timetable of works</w:t>
      </w:r>
    </w:p>
    <w:p w14:paraId="18093067" w14:textId="77777777" w:rsidR="0048770A" w:rsidRDefault="0048770A" w:rsidP="0048770A"/>
    <w:p w14:paraId="5399B272" w14:textId="77777777" w:rsidR="00441296" w:rsidRDefault="00441296" w:rsidP="0048770A"/>
    <w:p w14:paraId="1A399FEF" w14:textId="5D591215" w:rsidR="0048770A" w:rsidRPr="00441296" w:rsidRDefault="0048770A" w:rsidP="00441296">
      <w:pPr>
        <w:pStyle w:val="Heading1"/>
      </w:pPr>
      <w:r w:rsidRPr="00441296">
        <w:t>Supporting documentation</w:t>
      </w:r>
    </w:p>
    <w:p w14:paraId="7B023B0D" w14:textId="77777777" w:rsidR="0048770A" w:rsidRPr="0048770A" w:rsidRDefault="0048770A" w:rsidP="0048770A"/>
    <w:sectPr w:rsidR="0048770A" w:rsidRPr="00487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08AA" w14:textId="77777777" w:rsidR="00453D24" w:rsidRDefault="00453D24" w:rsidP="00D13AFE">
      <w:pPr>
        <w:spacing w:after="0" w:line="240" w:lineRule="auto"/>
      </w:pPr>
      <w:r>
        <w:separator/>
      </w:r>
    </w:p>
  </w:endnote>
  <w:endnote w:type="continuationSeparator" w:id="0">
    <w:p w14:paraId="2453E8B6" w14:textId="77777777" w:rsidR="00453D24" w:rsidRDefault="00453D24" w:rsidP="00D1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02C7" w14:textId="77777777" w:rsidR="00453D24" w:rsidRDefault="00453D24" w:rsidP="00D13AFE">
      <w:pPr>
        <w:spacing w:after="0" w:line="240" w:lineRule="auto"/>
      </w:pPr>
      <w:r>
        <w:separator/>
      </w:r>
    </w:p>
  </w:footnote>
  <w:footnote w:type="continuationSeparator" w:id="0">
    <w:p w14:paraId="17B40ED8" w14:textId="77777777" w:rsidR="00453D24" w:rsidRDefault="00453D24" w:rsidP="00D13AFE">
      <w:pPr>
        <w:spacing w:after="0" w:line="240" w:lineRule="auto"/>
      </w:pPr>
      <w:r>
        <w:continuationSeparator/>
      </w:r>
    </w:p>
  </w:footnote>
  <w:footnote w:id="1">
    <w:p w14:paraId="3B43AFE9" w14:textId="1CCEE66C" w:rsidR="00D13AFE" w:rsidRDefault="00D13AFE">
      <w:pPr>
        <w:pStyle w:val="FootnoteText"/>
      </w:pPr>
      <w:r>
        <w:rPr>
          <w:rStyle w:val="FootnoteReference"/>
        </w:rPr>
        <w:footnoteRef/>
      </w:r>
      <w:r>
        <w:t xml:space="preserve"> The non-compliance may span across the Grid and Network Codes and each relevant Code and provision(s) should be identified in the derogation request.</w:t>
      </w:r>
    </w:p>
  </w:footnote>
  <w:footnote w:id="2">
    <w:p w14:paraId="381954C7" w14:textId="08FEDDA4" w:rsidR="00D13AFE" w:rsidRDefault="00D13AFE">
      <w:pPr>
        <w:pStyle w:val="FootnoteText"/>
      </w:pPr>
      <w:r>
        <w:rPr>
          <w:rStyle w:val="FootnoteReference"/>
        </w:rPr>
        <w:footnoteRef/>
      </w:r>
      <w:r>
        <w:t xml:space="preserve"> The UR expect the assessment to follow the principles and criteria within the Northern Ireland Guide Expenditure Appraisal and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356"/>
    <w:multiLevelType w:val="hybridMultilevel"/>
    <w:tmpl w:val="A75E4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422180"/>
    <w:multiLevelType w:val="hybridMultilevel"/>
    <w:tmpl w:val="ECE0E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572FE4"/>
    <w:multiLevelType w:val="hybridMultilevel"/>
    <w:tmpl w:val="EEBC2CBC"/>
    <w:lvl w:ilvl="0" w:tplc="CD608CB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CB2CEF"/>
    <w:multiLevelType w:val="hybridMultilevel"/>
    <w:tmpl w:val="F8A2E3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DA102E"/>
    <w:multiLevelType w:val="hybridMultilevel"/>
    <w:tmpl w:val="B400161C"/>
    <w:lvl w:ilvl="0" w:tplc="CD608CB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3903453">
    <w:abstractNumId w:val="0"/>
  </w:num>
  <w:num w:numId="2" w16cid:durableId="299461785">
    <w:abstractNumId w:val="2"/>
  </w:num>
  <w:num w:numId="3" w16cid:durableId="234437211">
    <w:abstractNumId w:val="4"/>
  </w:num>
  <w:num w:numId="4" w16cid:durableId="1720932829">
    <w:abstractNumId w:val="1"/>
  </w:num>
  <w:num w:numId="5" w16cid:durableId="558134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B1"/>
    <w:rsid w:val="00096A03"/>
    <w:rsid w:val="000B1807"/>
    <w:rsid w:val="000C3E8A"/>
    <w:rsid w:val="004148AF"/>
    <w:rsid w:val="00441296"/>
    <w:rsid w:val="00453D24"/>
    <w:rsid w:val="0048770A"/>
    <w:rsid w:val="0051492F"/>
    <w:rsid w:val="00631B48"/>
    <w:rsid w:val="006945B0"/>
    <w:rsid w:val="0073207E"/>
    <w:rsid w:val="00794ABE"/>
    <w:rsid w:val="007B12B7"/>
    <w:rsid w:val="00A008B1"/>
    <w:rsid w:val="00B0064C"/>
    <w:rsid w:val="00CC2E4F"/>
    <w:rsid w:val="00CF157B"/>
    <w:rsid w:val="00D13AFE"/>
    <w:rsid w:val="00D70E0D"/>
    <w:rsid w:val="00DE4CD5"/>
    <w:rsid w:val="00E81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858D"/>
  <w15:chartTrackingRefBased/>
  <w15:docId w15:val="{27C48F62-23E4-4381-853A-C16168CE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A03"/>
    <w:pPr>
      <w:spacing w:after="120"/>
    </w:pPr>
    <w:rPr>
      <w:sz w:val="24"/>
    </w:rPr>
  </w:style>
  <w:style w:type="paragraph" w:styleId="Heading1">
    <w:name w:val="heading 1"/>
    <w:basedOn w:val="Normal"/>
    <w:next w:val="Normal"/>
    <w:link w:val="Heading1Char"/>
    <w:uiPriority w:val="9"/>
    <w:qFormat/>
    <w:rsid w:val="00A00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8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08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008B1"/>
    <w:pPr>
      <w:ind w:left="720"/>
      <w:contextualSpacing/>
    </w:pPr>
  </w:style>
  <w:style w:type="character" w:styleId="Hyperlink">
    <w:name w:val="Hyperlink"/>
    <w:basedOn w:val="DefaultParagraphFont"/>
    <w:rsid w:val="00A008B1"/>
    <w:rPr>
      <w:color w:val="0000FF"/>
      <w:u w:val="single"/>
    </w:rPr>
  </w:style>
  <w:style w:type="character" w:customStyle="1" w:styleId="Heading2Char">
    <w:name w:val="Heading 2 Char"/>
    <w:basedOn w:val="DefaultParagraphFont"/>
    <w:link w:val="Heading2"/>
    <w:uiPriority w:val="9"/>
    <w:rsid w:val="004148A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13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AFE"/>
    <w:rPr>
      <w:sz w:val="20"/>
      <w:szCs w:val="20"/>
    </w:rPr>
  </w:style>
  <w:style w:type="character" w:styleId="FootnoteReference">
    <w:name w:val="footnote reference"/>
    <w:basedOn w:val="DefaultParagraphFont"/>
    <w:uiPriority w:val="99"/>
    <w:semiHidden/>
    <w:unhideWhenUsed/>
    <w:rsid w:val="00D13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idcode@soni.ltd.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6F49F.728A6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32C41-FEC0-4FF0-8843-E208F9A7E41C}">
  <ds:schemaRefs>
    <ds:schemaRef ds:uri="http://schemas.microsoft.com/sharepoint/v3/contenttype/forms"/>
  </ds:schemaRefs>
</ds:datastoreItem>
</file>

<file path=customXml/itemProps2.xml><?xml version="1.0" encoding="utf-8"?>
<ds:datastoreItem xmlns:ds="http://schemas.openxmlformats.org/officeDocument/2006/customXml" ds:itemID="{56470517-2137-4B0D-A53C-46C37292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19A3AD-BBB5-418E-BBF8-B68021F17A5A}">
  <ds:schemaRefs>
    <ds:schemaRef ds:uri="http://schemas.openxmlformats.org/officeDocument/2006/bibliography"/>
  </ds:schemaRefs>
</ds:datastoreItem>
</file>

<file path=customXml/itemProps4.xml><?xml version="1.0" encoding="utf-8"?>
<ds:datastoreItem xmlns:ds="http://schemas.openxmlformats.org/officeDocument/2006/customXml" ds:itemID="{F398CD11-EF1C-4823-84FF-37126C3DDF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McAteer, Conleth</dc:creator>
  <cp:keywords/>
  <dc:description/>
  <cp:lastModifiedBy>Millwood, Maeve</cp:lastModifiedBy>
  <cp:revision>2</cp:revision>
  <cp:lastPrinted>2023-05-25T14:58:00Z</cp:lastPrinted>
  <dcterms:created xsi:type="dcterms:W3CDTF">2023-06-02T12:52:00Z</dcterms:created>
  <dcterms:modified xsi:type="dcterms:W3CDTF">2023-06-02T12:52:00Z</dcterms:modified>
</cp:coreProperties>
</file>