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0D0" w:rsidRPr="002A217C" w:rsidRDefault="00CF00D0" w:rsidP="0081110B">
      <w:pPr>
        <w:pStyle w:val="NoSpacing"/>
        <w:jc w:val="center"/>
        <w:rPr>
          <w:b/>
          <w:sz w:val="26"/>
          <w:szCs w:val="26"/>
          <w:u w:val="single"/>
        </w:rPr>
      </w:pPr>
      <w:r w:rsidRPr="002A217C">
        <w:rPr>
          <w:b/>
          <w:sz w:val="26"/>
          <w:szCs w:val="26"/>
          <w:u w:val="single"/>
        </w:rPr>
        <w:t xml:space="preserve">Northern Ireland Monthly Electricity Statistics Update – </w:t>
      </w:r>
      <w:r w:rsidR="00813F0C" w:rsidRPr="00813F0C">
        <w:rPr>
          <w:b/>
          <w:sz w:val="26"/>
          <w:szCs w:val="26"/>
          <w:u w:val="single"/>
        </w:rPr>
        <w:t>September</w:t>
      </w:r>
      <w:r w:rsidR="005160A2" w:rsidRPr="00813F0C">
        <w:rPr>
          <w:b/>
          <w:sz w:val="26"/>
          <w:szCs w:val="26"/>
          <w:u w:val="single"/>
        </w:rPr>
        <w:t xml:space="preserve"> 2012</w:t>
      </w:r>
    </w:p>
    <w:p w:rsidR="00CF00D0" w:rsidRPr="002A217C" w:rsidRDefault="00CF00D0" w:rsidP="0081110B">
      <w:pPr>
        <w:pStyle w:val="NoSpacing"/>
        <w:jc w:val="center"/>
        <w:rPr>
          <w:b/>
          <w:sz w:val="2"/>
          <w:szCs w:val="2"/>
        </w:rPr>
      </w:pPr>
    </w:p>
    <w:p w:rsidR="00CF00D0" w:rsidRPr="002A217C" w:rsidRDefault="005338F0" w:rsidP="005338F0">
      <w:pPr>
        <w:spacing w:after="0" w:line="240" w:lineRule="auto"/>
        <w:rPr>
          <w:b/>
          <w:bCs/>
        </w:rPr>
      </w:pPr>
      <w:r w:rsidRPr="002A217C">
        <w:rPr>
          <w:b/>
          <w:bCs/>
        </w:rPr>
        <w:t xml:space="preserve">     </w:t>
      </w:r>
      <w:r w:rsidR="00CF00D0" w:rsidRPr="002A217C">
        <w:rPr>
          <w:b/>
          <w:bCs/>
        </w:rPr>
        <w:t>System Statistics and Records:</w:t>
      </w:r>
    </w:p>
    <w:tbl>
      <w:tblPr>
        <w:tblW w:w="103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73"/>
        <w:gridCol w:w="1619"/>
        <w:gridCol w:w="4255"/>
      </w:tblGrid>
      <w:tr w:rsidR="00CF00D0" w:rsidRPr="002A217C" w:rsidTr="005338F0">
        <w:trPr>
          <w:jc w:val="center"/>
        </w:trPr>
        <w:tc>
          <w:tcPr>
            <w:tcW w:w="4473" w:type="dxa"/>
          </w:tcPr>
          <w:p w:rsidR="00CF00D0" w:rsidRPr="002A217C" w:rsidRDefault="00CF00D0" w:rsidP="00B66C0C">
            <w:pPr>
              <w:spacing w:after="0" w:line="240" w:lineRule="auto"/>
              <w:rPr>
                <w:rFonts w:cs="Arial"/>
              </w:rPr>
            </w:pPr>
            <w:r w:rsidRPr="002A217C">
              <w:rPr>
                <w:rFonts w:cs="Arial"/>
              </w:rPr>
              <w:t>Monthly Electricity Demand</w:t>
            </w:r>
          </w:p>
        </w:tc>
        <w:tc>
          <w:tcPr>
            <w:tcW w:w="1619" w:type="dxa"/>
          </w:tcPr>
          <w:p w:rsidR="00CF00D0" w:rsidRPr="00813F0C" w:rsidRDefault="00813F0C" w:rsidP="00B75B1E">
            <w:pPr>
              <w:spacing w:after="0" w:line="240" w:lineRule="auto"/>
              <w:jc w:val="center"/>
              <w:rPr>
                <w:rFonts w:cs="Arial"/>
              </w:rPr>
            </w:pPr>
            <w:r w:rsidRPr="00813F0C">
              <w:rPr>
                <w:rFonts w:cs="Arial"/>
              </w:rPr>
              <w:t>688.51</w:t>
            </w:r>
            <w:r w:rsidR="00CF00D0" w:rsidRPr="00813F0C">
              <w:rPr>
                <w:rFonts w:cs="Arial"/>
              </w:rPr>
              <w:t>GWh</w:t>
            </w:r>
          </w:p>
        </w:tc>
        <w:tc>
          <w:tcPr>
            <w:tcW w:w="4255" w:type="dxa"/>
          </w:tcPr>
          <w:p w:rsidR="00CF00D0" w:rsidRPr="00813F0C" w:rsidRDefault="00813F0C" w:rsidP="00B055AE">
            <w:pPr>
              <w:spacing w:after="0" w:line="240" w:lineRule="auto"/>
              <w:rPr>
                <w:rFonts w:cs="Arial"/>
                <w:i/>
              </w:rPr>
            </w:pPr>
            <w:r w:rsidRPr="00813F0C">
              <w:rPr>
                <w:rFonts w:cs="Arial"/>
                <w:i/>
              </w:rPr>
              <w:t>September</w:t>
            </w:r>
            <w:r w:rsidR="005160A2" w:rsidRPr="00813F0C">
              <w:rPr>
                <w:rFonts w:cs="Arial"/>
                <w:i/>
              </w:rPr>
              <w:t xml:space="preserve"> 2012</w:t>
            </w:r>
          </w:p>
        </w:tc>
      </w:tr>
      <w:tr w:rsidR="00CF00D0" w:rsidRPr="002A217C" w:rsidTr="005338F0">
        <w:trPr>
          <w:jc w:val="center"/>
        </w:trPr>
        <w:tc>
          <w:tcPr>
            <w:tcW w:w="4473" w:type="dxa"/>
          </w:tcPr>
          <w:p w:rsidR="00CF00D0" w:rsidRPr="002A217C" w:rsidRDefault="00CF00D0" w:rsidP="00B66C0C">
            <w:pPr>
              <w:spacing w:after="0" w:line="240" w:lineRule="auto"/>
              <w:rPr>
                <w:rFonts w:cs="Arial"/>
              </w:rPr>
            </w:pPr>
            <w:r w:rsidRPr="002A217C">
              <w:rPr>
                <w:rFonts w:cs="Arial"/>
              </w:rPr>
              <w:t>Monthly Electricity Demand From Renewables</w:t>
            </w:r>
            <w:r w:rsidRPr="002A217C">
              <w:rPr>
                <w:rStyle w:val="FootnoteReference"/>
                <w:rFonts w:cs="Arial"/>
              </w:rPr>
              <w:t xml:space="preserve"> </w:t>
            </w:r>
            <w:r w:rsidRPr="002A217C">
              <w:rPr>
                <w:rStyle w:val="FootnoteReference"/>
                <w:rFonts w:cs="Arial"/>
              </w:rPr>
              <w:footnoteReference w:id="1"/>
            </w:r>
          </w:p>
        </w:tc>
        <w:tc>
          <w:tcPr>
            <w:tcW w:w="1619" w:type="dxa"/>
          </w:tcPr>
          <w:p w:rsidR="00CF00D0" w:rsidRPr="00813F0C" w:rsidRDefault="00813F0C" w:rsidP="00B66C0C">
            <w:pPr>
              <w:spacing w:after="0" w:line="240" w:lineRule="auto"/>
              <w:jc w:val="center"/>
              <w:rPr>
                <w:rFonts w:cs="Arial"/>
              </w:rPr>
            </w:pPr>
            <w:r w:rsidRPr="00813F0C">
              <w:rPr>
                <w:rFonts w:cs="Arial"/>
              </w:rPr>
              <w:t>118.68</w:t>
            </w:r>
            <w:r w:rsidR="00F27BF1" w:rsidRPr="00813F0C">
              <w:rPr>
                <w:rFonts w:cs="Arial"/>
              </w:rPr>
              <w:t xml:space="preserve"> </w:t>
            </w:r>
            <w:proofErr w:type="spellStart"/>
            <w:r w:rsidR="00F27BF1" w:rsidRPr="00813F0C">
              <w:rPr>
                <w:rFonts w:cs="Arial"/>
              </w:rPr>
              <w:t>GWh</w:t>
            </w:r>
            <w:proofErr w:type="spellEnd"/>
          </w:p>
        </w:tc>
        <w:tc>
          <w:tcPr>
            <w:tcW w:w="4255" w:type="dxa"/>
          </w:tcPr>
          <w:p w:rsidR="00CF00D0" w:rsidRPr="00813F0C" w:rsidRDefault="00813F0C" w:rsidP="00813F0C">
            <w:pPr>
              <w:spacing w:after="0" w:line="240" w:lineRule="auto"/>
              <w:rPr>
                <w:rFonts w:cs="Arial"/>
                <w:i/>
              </w:rPr>
            </w:pPr>
            <w:r w:rsidRPr="00813F0C">
              <w:rPr>
                <w:rFonts w:cs="Arial"/>
                <w:i/>
              </w:rPr>
              <w:t xml:space="preserve">Sept </w:t>
            </w:r>
            <w:r w:rsidR="00FB4343" w:rsidRPr="00813F0C">
              <w:rPr>
                <w:rFonts w:cs="Arial"/>
                <w:i/>
              </w:rPr>
              <w:t>2012</w:t>
            </w:r>
            <w:r w:rsidR="00E64C0C" w:rsidRPr="00813F0C">
              <w:rPr>
                <w:rFonts w:cs="Arial"/>
                <w:i/>
              </w:rPr>
              <w:t xml:space="preserve"> (</w:t>
            </w:r>
            <w:r w:rsidR="00130D74" w:rsidRPr="00813F0C">
              <w:rPr>
                <w:rFonts w:cs="Arial"/>
                <w:i/>
              </w:rPr>
              <w:t>W</w:t>
            </w:r>
            <w:r w:rsidR="00E64C0C" w:rsidRPr="00813F0C">
              <w:rPr>
                <w:rFonts w:cs="Arial"/>
                <w:i/>
              </w:rPr>
              <w:t>ind</w:t>
            </w:r>
            <w:r w:rsidR="00336592" w:rsidRPr="00813F0C">
              <w:rPr>
                <w:rFonts w:cs="Arial"/>
                <w:i/>
                <w:vertAlign w:val="superscript"/>
              </w:rPr>
              <w:t>3</w:t>
            </w:r>
            <w:r w:rsidR="00E64C0C" w:rsidRPr="00813F0C">
              <w:rPr>
                <w:rFonts w:cs="Arial"/>
                <w:i/>
              </w:rPr>
              <w:t xml:space="preserve"> = </w:t>
            </w:r>
            <w:r w:rsidRPr="00813F0C">
              <w:rPr>
                <w:rFonts w:cs="Arial"/>
                <w:i/>
              </w:rPr>
              <w:t>111.47</w:t>
            </w:r>
            <w:r w:rsidR="00E64C0C" w:rsidRPr="00813F0C">
              <w:rPr>
                <w:rFonts w:cs="Arial"/>
                <w:i/>
              </w:rPr>
              <w:t xml:space="preserve"> GWh)</w:t>
            </w:r>
          </w:p>
        </w:tc>
      </w:tr>
      <w:tr w:rsidR="00CF00D0" w:rsidRPr="002A217C" w:rsidTr="005338F0">
        <w:trPr>
          <w:jc w:val="center"/>
        </w:trPr>
        <w:tc>
          <w:tcPr>
            <w:tcW w:w="4473" w:type="dxa"/>
          </w:tcPr>
          <w:p w:rsidR="00CF00D0" w:rsidRPr="002A217C" w:rsidRDefault="00CF00D0" w:rsidP="00B66C0C">
            <w:pPr>
              <w:spacing w:after="0" w:line="240" w:lineRule="auto"/>
              <w:rPr>
                <w:rFonts w:cs="Arial"/>
              </w:rPr>
            </w:pPr>
            <w:r w:rsidRPr="002A217C">
              <w:rPr>
                <w:rFonts w:cs="Arial"/>
              </w:rPr>
              <w:t>Monthly Electricity Demand Growth Rate</w:t>
            </w:r>
          </w:p>
        </w:tc>
        <w:tc>
          <w:tcPr>
            <w:tcW w:w="1619" w:type="dxa"/>
            <w:shd w:val="clear" w:color="auto" w:fill="auto"/>
          </w:tcPr>
          <w:p w:rsidR="00CF00D0" w:rsidRPr="00813F0C" w:rsidRDefault="005C6E49" w:rsidP="00813F0C">
            <w:pPr>
              <w:spacing w:after="0" w:line="240" w:lineRule="auto"/>
              <w:jc w:val="center"/>
              <w:rPr>
                <w:rFonts w:cs="Arial"/>
                <w:b/>
                <w:color w:val="FF0000"/>
              </w:rPr>
            </w:pPr>
            <w:r w:rsidRPr="00813F0C">
              <w:rPr>
                <w:rFonts w:cs="Arial"/>
                <w:b/>
                <w:color w:val="FF0000"/>
              </w:rPr>
              <w:t>-</w:t>
            </w:r>
            <w:r w:rsidR="00813F0C" w:rsidRPr="00813F0C">
              <w:rPr>
                <w:rFonts w:cs="Arial"/>
                <w:b/>
                <w:color w:val="FF0000"/>
              </w:rPr>
              <w:t>1.28</w:t>
            </w:r>
            <w:r w:rsidR="008F23B5" w:rsidRPr="00813F0C">
              <w:rPr>
                <w:rFonts w:cs="Arial"/>
                <w:b/>
                <w:color w:val="FF0000"/>
              </w:rPr>
              <w:t>%</w:t>
            </w:r>
          </w:p>
        </w:tc>
        <w:tc>
          <w:tcPr>
            <w:tcW w:w="4255" w:type="dxa"/>
            <w:shd w:val="clear" w:color="auto" w:fill="auto"/>
          </w:tcPr>
          <w:p w:rsidR="00CF00D0" w:rsidRPr="00813F0C" w:rsidRDefault="00813F0C" w:rsidP="00813F0C">
            <w:pPr>
              <w:spacing w:after="0" w:line="240" w:lineRule="auto"/>
              <w:rPr>
                <w:rFonts w:cs="Arial"/>
                <w:i/>
                <w:color w:val="000000" w:themeColor="text1"/>
              </w:rPr>
            </w:pPr>
            <w:r w:rsidRPr="00813F0C">
              <w:rPr>
                <w:rFonts w:cs="Arial"/>
                <w:i/>
              </w:rPr>
              <w:t xml:space="preserve">Sept </w:t>
            </w:r>
            <w:r w:rsidR="0059683A" w:rsidRPr="00813F0C">
              <w:rPr>
                <w:rFonts w:cs="Arial"/>
                <w:i/>
              </w:rPr>
              <w:t>2012</w:t>
            </w:r>
            <w:r w:rsidR="000D4C22" w:rsidRPr="00813F0C">
              <w:rPr>
                <w:rFonts w:cs="Arial"/>
                <w:i/>
              </w:rPr>
              <w:t xml:space="preserve"> v </w:t>
            </w:r>
            <w:r w:rsidRPr="00813F0C">
              <w:rPr>
                <w:rFonts w:cs="Arial"/>
                <w:i/>
              </w:rPr>
              <w:t xml:space="preserve">Sept </w:t>
            </w:r>
            <w:r w:rsidR="0059683A" w:rsidRPr="00813F0C">
              <w:rPr>
                <w:rFonts w:cs="Arial"/>
                <w:i/>
              </w:rPr>
              <w:t>2011</w:t>
            </w:r>
          </w:p>
        </w:tc>
      </w:tr>
      <w:tr w:rsidR="00CF00D0" w:rsidRPr="002A217C" w:rsidTr="005338F0">
        <w:trPr>
          <w:jc w:val="center"/>
        </w:trPr>
        <w:tc>
          <w:tcPr>
            <w:tcW w:w="4473" w:type="dxa"/>
          </w:tcPr>
          <w:p w:rsidR="00CF00D0" w:rsidRPr="002A217C" w:rsidRDefault="00CF00D0" w:rsidP="00B66C0C">
            <w:pPr>
              <w:spacing w:after="0" w:line="240" w:lineRule="auto"/>
              <w:rPr>
                <w:rFonts w:cs="Arial"/>
              </w:rPr>
            </w:pPr>
            <w:r w:rsidRPr="002A217C">
              <w:rPr>
                <w:rFonts w:cs="Arial"/>
              </w:rPr>
              <w:t>Year To Date Electricity Demand Growth Rate</w:t>
            </w:r>
          </w:p>
        </w:tc>
        <w:tc>
          <w:tcPr>
            <w:tcW w:w="1619" w:type="dxa"/>
          </w:tcPr>
          <w:p w:rsidR="00CF00D0" w:rsidRPr="00893BA3" w:rsidRDefault="00E40339" w:rsidP="005C6E49">
            <w:pPr>
              <w:spacing w:after="0" w:line="240" w:lineRule="auto"/>
              <w:jc w:val="center"/>
              <w:rPr>
                <w:rFonts w:cs="Arial"/>
                <w:b/>
                <w:color w:val="FF0000"/>
              </w:rPr>
            </w:pPr>
            <w:r w:rsidRPr="00893BA3">
              <w:rPr>
                <w:rFonts w:cs="Arial"/>
                <w:b/>
                <w:color w:val="FF0000"/>
              </w:rPr>
              <w:t>-1.7</w:t>
            </w:r>
            <w:r w:rsidR="00893BA3" w:rsidRPr="00893BA3">
              <w:rPr>
                <w:rFonts w:cs="Arial"/>
                <w:b/>
                <w:color w:val="FF0000"/>
              </w:rPr>
              <w:t>4</w:t>
            </w:r>
            <w:r w:rsidR="0010054A" w:rsidRPr="00893BA3">
              <w:rPr>
                <w:rFonts w:cs="Arial"/>
                <w:b/>
                <w:color w:val="FF0000"/>
              </w:rPr>
              <w:t>%</w:t>
            </w:r>
          </w:p>
        </w:tc>
        <w:tc>
          <w:tcPr>
            <w:tcW w:w="4255" w:type="dxa"/>
          </w:tcPr>
          <w:p w:rsidR="00CF00D0" w:rsidRPr="00893BA3" w:rsidRDefault="00C431C3" w:rsidP="00893BA3">
            <w:pPr>
              <w:spacing w:after="0" w:line="240" w:lineRule="auto"/>
              <w:rPr>
                <w:rFonts w:cs="Arial"/>
                <w:i/>
              </w:rPr>
            </w:pPr>
            <w:r w:rsidRPr="00893BA3">
              <w:rPr>
                <w:rFonts w:cs="Arial"/>
                <w:i/>
              </w:rPr>
              <w:t>Jan-</w:t>
            </w:r>
            <w:r w:rsidR="00893BA3" w:rsidRPr="00893BA3">
              <w:rPr>
                <w:rFonts w:cs="Arial"/>
                <w:i/>
              </w:rPr>
              <w:t>Sept</w:t>
            </w:r>
            <w:r w:rsidR="0010054A" w:rsidRPr="00893BA3">
              <w:rPr>
                <w:rFonts w:cs="Arial"/>
                <w:i/>
              </w:rPr>
              <w:t xml:space="preserve"> </w:t>
            </w:r>
            <w:r w:rsidR="0075556A" w:rsidRPr="00893BA3">
              <w:rPr>
                <w:rFonts w:cs="Arial"/>
                <w:i/>
              </w:rPr>
              <w:t>2012</w:t>
            </w:r>
            <w:r w:rsidRPr="00893BA3">
              <w:rPr>
                <w:rFonts w:cs="Arial"/>
                <w:i/>
              </w:rPr>
              <w:t xml:space="preserve"> vs Jan-</w:t>
            </w:r>
            <w:r w:rsidR="00893BA3" w:rsidRPr="00893BA3">
              <w:rPr>
                <w:rFonts w:cs="Arial"/>
                <w:i/>
              </w:rPr>
              <w:t>Sept</w:t>
            </w:r>
            <w:r w:rsidRPr="00893BA3">
              <w:rPr>
                <w:rFonts w:cs="Arial"/>
                <w:i/>
              </w:rPr>
              <w:t xml:space="preserve"> 201</w:t>
            </w:r>
            <w:r w:rsidR="00E40339" w:rsidRPr="00893BA3">
              <w:rPr>
                <w:rFonts w:cs="Arial"/>
                <w:i/>
              </w:rPr>
              <w:t>2</w:t>
            </w:r>
          </w:p>
        </w:tc>
      </w:tr>
      <w:tr w:rsidR="00CF00D0" w:rsidRPr="002A217C" w:rsidTr="005338F0">
        <w:trPr>
          <w:jc w:val="center"/>
        </w:trPr>
        <w:tc>
          <w:tcPr>
            <w:tcW w:w="4473" w:type="dxa"/>
          </w:tcPr>
          <w:p w:rsidR="00CF00D0" w:rsidRPr="002A217C" w:rsidRDefault="00CF00D0" w:rsidP="00B66C0C">
            <w:pPr>
              <w:spacing w:after="0" w:line="240" w:lineRule="auto"/>
              <w:rPr>
                <w:rFonts w:cs="Arial"/>
              </w:rPr>
            </w:pPr>
            <w:r w:rsidRPr="002A217C">
              <w:rPr>
                <w:rFonts w:cs="Arial"/>
              </w:rPr>
              <w:t>Monthly Maximum Load</w:t>
            </w:r>
          </w:p>
        </w:tc>
        <w:tc>
          <w:tcPr>
            <w:tcW w:w="1619" w:type="dxa"/>
          </w:tcPr>
          <w:p w:rsidR="00CF00D0" w:rsidRPr="00813F0C" w:rsidRDefault="00813F0C" w:rsidP="006A5CE8">
            <w:pPr>
              <w:spacing w:after="0" w:line="240" w:lineRule="auto"/>
              <w:jc w:val="center"/>
              <w:rPr>
                <w:rFonts w:cs="Arial"/>
              </w:rPr>
            </w:pPr>
            <w:r w:rsidRPr="00813F0C">
              <w:rPr>
                <w:rFonts w:cs="Arial"/>
              </w:rPr>
              <w:t>1412</w:t>
            </w:r>
            <w:r w:rsidR="0079473F" w:rsidRPr="00813F0C">
              <w:rPr>
                <w:rFonts w:cs="Arial"/>
              </w:rPr>
              <w:t xml:space="preserve"> </w:t>
            </w:r>
            <w:r w:rsidR="0059683A" w:rsidRPr="00813F0C">
              <w:rPr>
                <w:rFonts w:cs="Arial"/>
              </w:rPr>
              <w:t>MW</w:t>
            </w:r>
          </w:p>
        </w:tc>
        <w:tc>
          <w:tcPr>
            <w:tcW w:w="4255" w:type="dxa"/>
          </w:tcPr>
          <w:p w:rsidR="00CF00D0" w:rsidRPr="00813F0C" w:rsidRDefault="00813F0C" w:rsidP="00615B8C">
            <w:pPr>
              <w:spacing w:after="0" w:line="240" w:lineRule="auto"/>
              <w:rPr>
                <w:rFonts w:cs="Arial"/>
                <w:i/>
              </w:rPr>
            </w:pPr>
            <w:r w:rsidRPr="00813F0C">
              <w:rPr>
                <w:rFonts w:cs="Arial"/>
                <w:i/>
              </w:rPr>
              <w:t>Sept</w:t>
            </w:r>
            <w:r w:rsidR="005160A2" w:rsidRPr="00813F0C">
              <w:rPr>
                <w:rFonts w:cs="Arial"/>
                <w:i/>
              </w:rPr>
              <w:t xml:space="preserve"> 2012</w:t>
            </w:r>
          </w:p>
        </w:tc>
      </w:tr>
      <w:tr w:rsidR="0059683A" w:rsidRPr="002A217C" w:rsidTr="005338F0">
        <w:trPr>
          <w:jc w:val="center"/>
        </w:trPr>
        <w:tc>
          <w:tcPr>
            <w:tcW w:w="4473" w:type="dxa"/>
          </w:tcPr>
          <w:p w:rsidR="0059683A" w:rsidRPr="002A217C" w:rsidRDefault="0059683A" w:rsidP="00B66C0C">
            <w:pPr>
              <w:spacing w:after="0" w:line="240" w:lineRule="auto"/>
              <w:rPr>
                <w:rFonts w:cs="Arial"/>
              </w:rPr>
            </w:pPr>
            <w:r w:rsidRPr="002A217C">
              <w:rPr>
                <w:rFonts w:cs="Arial"/>
              </w:rPr>
              <w:t>Monthly Minimum Load</w:t>
            </w:r>
          </w:p>
        </w:tc>
        <w:tc>
          <w:tcPr>
            <w:tcW w:w="1619" w:type="dxa"/>
          </w:tcPr>
          <w:p w:rsidR="0059683A" w:rsidRPr="00813F0C" w:rsidRDefault="00615B8C" w:rsidP="00B75B1E">
            <w:pPr>
              <w:spacing w:after="0" w:line="240" w:lineRule="auto"/>
              <w:jc w:val="center"/>
              <w:rPr>
                <w:rFonts w:cs="Arial"/>
              </w:rPr>
            </w:pPr>
            <w:r w:rsidRPr="00813F0C">
              <w:rPr>
                <w:rFonts w:cs="Arial"/>
              </w:rPr>
              <w:t>5</w:t>
            </w:r>
            <w:r w:rsidR="00813F0C" w:rsidRPr="00813F0C">
              <w:rPr>
                <w:rFonts w:cs="Arial"/>
              </w:rPr>
              <w:t>6</w:t>
            </w:r>
            <w:r w:rsidR="00B75B1E" w:rsidRPr="00813F0C">
              <w:rPr>
                <w:rFonts w:cs="Arial"/>
              </w:rPr>
              <w:t>9</w:t>
            </w:r>
            <w:r w:rsidR="0059683A" w:rsidRPr="00813F0C">
              <w:rPr>
                <w:rFonts w:cs="Arial"/>
              </w:rPr>
              <w:t xml:space="preserve"> MW</w:t>
            </w:r>
          </w:p>
        </w:tc>
        <w:tc>
          <w:tcPr>
            <w:tcW w:w="4255" w:type="dxa"/>
          </w:tcPr>
          <w:p w:rsidR="0059683A" w:rsidRPr="00813F0C" w:rsidRDefault="00813F0C" w:rsidP="0039785D">
            <w:pPr>
              <w:spacing w:after="0" w:line="240" w:lineRule="auto"/>
              <w:rPr>
                <w:rFonts w:cs="Arial"/>
                <w:i/>
              </w:rPr>
            </w:pPr>
            <w:r w:rsidRPr="00813F0C">
              <w:rPr>
                <w:rFonts w:cs="Arial"/>
                <w:i/>
              </w:rPr>
              <w:t>Sept</w:t>
            </w:r>
            <w:r w:rsidR="00371AB1" w:rsidRPr="00813F0C">
              <w:rPr>
                <w:rFonts w:cs="Arial"/>
                <w:i/>
              </w:rPr>
              <w:t xml:space="preserve"> </w:t>
            </w:r>
            <w:r w:rsidR="0059683A" w:rsidRPr="00813F0C">
              <w:rPr>
                <w:rFonts w:cs="Arial"/>
                <w:i/>
              </w:rPr>
              <w:t>2012</w:t>
            </w:r>
          </w:p>
        </w:tc>
      </w:tr>
      <w:tr w:rsidR="00CF00D0" w:rsidRPr="002A217C" w:rsidTr="005338F0">
        <w:trPr>
          <w:jc w:val="center"/>
        </w:trPr>
        <w:tc>
          <w:tcPr>
            <w:tcW w:w="4473" w:type="dxa"/>
          </w:tcPr>
          <w:p w:rsidR="00CF00D0" w:rsidRPr="002A217C" w:rsidRDefault="0059683A" w:rsidP="00B66C0C">
            <w:pPr>
              <w:spacing w:after="0" w:line="240" w:lineRule="auto"/>
              <w:rPr>
                <w:rFonts w:cs="Arial"/>
                <w:vertAlign w:val="superscript"/>
              </w:rPr>
            </w:pPr>
            <w:r w:rsidRPr="002A217C">
              <w:rPr>
                <w:rFonts w:cs="Arial"/>
              </w:rPr>
              <w:t>2012</w:t>
            </w:r>
            <w:r w:rsidR="00CF00D0" w:rsidRPr="002A217C">
              <w:rPr>
                <w:rFonts w:cs="Arial"/>
              </w:rPr>
              <w:t xml:space="preserve"> Year To Date Maximum Load</w:t>
            </w:r>
          </w:p>
        </w:tc>
        <w:tc>
          <w:tcPr>
            <w:tcW w:w="1619" w:type="dxa"/>
          </w:tcPr>
          <w:p w:rsidR="00CF00D0" w:rsidRPr="00813F0C" w:rsidRDefault="0059683A" w:rsidP="00B66C0C">
            <w:pPr>
              <w:spacing w:after="0" w:line="240" w:lineRule="auto"/>
              <w:jc w:val="center"/>
              <w:rPr>
                <w:rFonts w:cs="Arial"/>
              </w:rPr>
            </w:pPr>
            <w:r w:rsidRPr="00813F0C">
              <w:rPr>
                <w:rFonts w:cs="Arial"/>
              </w:rPr>
              <w:t>1671</w:t>
            </w:r>
            <w:r w:rsidR="00CF00D0" w:rsidRPr="00813F0C">
              <w:rPr>
                <w:rFonts w:cs="Arial"/>
              </w:rPr>
              <w:t>MW</w:t>
            </w:r>
          </w:p>
        </w:tc>
        <w:tc>
          <w:tcPr>
            <w:tcW w:w="4255" w:type="dxa"/>
          </w:tcPr>
          <w:p w:rsidR="00CF00D0" w:rsidRPr="00813F0C" w:rsidRDefault="00CF00D0" w:rsidP="0059683A">
            <w:pPr>
              <w:spacing w:after="0" w:line="240" w:lineRule="auto"/>
              <w:rPr>
                <w:rFonts w:cs="Arial"/>
                <w:i/>
              </w:rPr>
            </w:pPr>
            <w:r w:rsidRPr="00813F0C">
              <w:rPr>
                <w:rFonts w:cs="Arial"/>
                <w:i/>
              </w:rPr>
              <w:t xml:space="preserve">17:30 hrs on </w:t>
            </w:r>
            <w:r w:rsidR="0059683A" w:rsidRPr="00813F0C">
              <w:rPr>
                <w:rFonts w:cs="Arial"/>
                <w:i/>
              </w:rPr>
              <w:t>Wednesday 4</w:t>
            </w:r>
            <w:r w:rsidR="0059683A" w:rsidRPr="00813F0C">
              <w:rPr>
                <w:rFonts w:cs="Arial"/>
                <w:i/>
                <w:vertAlign w:val="superscript"/>
              </w:rPr>
              <w:t>th</w:t>
            </w:r>
            <w:r w:rsidR="0059683A" w:rsidRPr="00813F0C">
              <w:rPr>
                <w:rFonts w:cs="Arial"/>
                <w:i/>
              </w:rPr>
              <w:t xml:space="preserve"> </w:t>
            </w:r>
            <w:r w:rsidR="00840E0E" w:rsidRPr="00813F0C">
              <w:rPr>
                <w:rFonts w:cs="Arial"/>
                <w:i/>
              </w:rPr>
              <w:t>Ja</w:t>
            </w:r>
            <w:r w:rsidRPr="00813F0C">
              <w:rPr>
                <w:rFonts w:cs="Arial"/>
                <w:i/>
              </w:rPr>
              <w:t>nuary 201</w:t>
            </w:r>
            <w:r w:rsidR="00840E0E" w:rsidRPr="00813F0C">
              <w:rPr>
                <w:rFonts w:cs="Arial"/>
                <w:i/>
              </w:rPr>
              <w:t>2</w:t>
            </w:r>
          </w:p>
        </w:tc>
      </w:tr>
      <w:tr w:rsidR="00CF00D0" w:rsidRPr="002A217C" w:rsidTr="005338F0">
        <w:trPr>
          <w:jc w:val="center"/>
        </w:trPr>
        <w:tc>
          <w:tcPr>
            <w:tcW w:w="4473" w:type="dxa"/>
          </w:tcPr>
          <w:p w:rsidR="00CF00D0" w:rsidRPr="002A217C" w:rsidRDefault="00840E0E" w:rsidP="00B66C0C">
            <w:pPr>
              <w:spacing w:after="0" w:line="240" w:lineRule="auto"/>
              <w:rPr>
                <w:rFonts w:cs="Arial"/>
                <w:vertAlign w:val="superscript"/>
              </w:rPr>
            </w:pPr>
            <w:r w:rsidRPr="002A217C">
              <w:rPr>
                <w:rFonts w:cs="Arial"/>
              </w:rPr>
              <w:t>2012</w:t>
            </w:r>
            <w:r w:rsidR="00CF00D0" w:rsidRPr="002A217C">
              <w:rPr>
                <w:rFonts w:cs="Arial"/>
              </w:rPr>
              <w:t xml:space="preserve"> Year To Date Minimum Load</w:t>
            </w:r>
          </w:p>
        </w:tc>
        <w:tc>
          <w:tcPr>
            <w:tcW w:w="1619" w:type="dxa"/>
          </w:tcPr>
          <w:p w:rsidR="00CF00D0" w:rsidRPr="00813F0C" w:rsidRDefault="003439DF" w:rsidP="00615B8C">
            <w:pPr>
              <w:spacing w:after="0" w:line="240" w:lineRule="auto"/>
              <w:jc w:val="center"/>
              <w:rPr>
                <w:rFonts w:cs="Arial"/>
              </w:rPr>
            </w:pPr>
            <w:r w:rsidRPr="00813F0C">
              <w:rPr>
                <w:rFonts w:cs="Arial"/>
              </w:rPr>
              <w:t>5</w:t>
            </w:r>
            <w:r w:rsidR="00615B8C" w:rsidRPr="00813F0C">
              <w:rPr>
                <w:rFonts w:cs="Arial"/>
              </w:rPr>
              <w:t>16</w:t>
            </w:r>
            <w:r w:rsidR="00CF00D0" w:rsidRPr="00813F0C">
              <w:rPr>
                <w:rFonts w:cs="Arial"/>
              </w:rPr>
              <w:t xml:space="preserve"> MW</w:t>
            </w:r>
          </w:p>
        </w:tc>
        <w:tc>
          <w:tcPr>
            <w:tcW w:w="4255" w:type="dxa"/>
          </w:tcPr>
          <w:p w:rsidR="00CF00D0" w:rsidRPr="00813F0C" w:rsidRDefault="003439DF" w:rsidP="00696EA1">
            <w:pPr>
              <w:spacing w:after="0" w:line="240" w:lineRule="auto"/>
              <w:rPr>
                <w:rFonts w:cs="Arial"/>
                <w:i/>
              </w:rPr>
            </w:pPr>
            <w:r w:rsidRPr="00813F0C">
              <w:rPr>
                <w:rFonts w:cs="Arial"/>
                <w:i/>
              </w:rPr>
              <w:t>06:00</w:t>
            </w:r>
            <w:r w:rsidR="00CF00D0" w:rsidRPr="00813F0C">
              <w:rPr>
                <w:rFonts w:cs="Arial"/>
                <w:i/>
              </w:rPr>
              <w:t xml:space="preserve"> hrs on Sunday </w:t>
            </w:r>
            <w:r w:rsidR="00696EA1" w:rsidRPr="00813F0C">
              <w:rPr>
                <w:rFonts w:cs="Arial"/>
                <w:i/>
              </w:rPr>
              <w:t>1</w:t>
            </w:r>
            <w:r w:rsidR="00696EA1" w:rsidRPr="00813F0C">
              <w:rPr>
                <w:rFonts w:cs="Arial"/>
                <w:i/>
                <w:vertAlign w:val="superscript"/>
              </w:rPr>
              <w:t>st</w:t>
            </w:r>
            <w:r w:rsidR="00696EA1" w:rsidRPr="00813F0C">
              <w:rPr>
                <w:rFonts w:cs="Arial"/>
                <w:i/>
              </w:rPr>
              <w:t xml:space="preserve"> </w:t>
            </w:r>
            <w:r w:rsidR="00615B8C" w:rsidRPr="00813F0C">
              <w:rPr>
                <w:rFonts w:cs="Arial"/>
                <w:i/>
              </w:rPr>
              <w:t>July 2012</w:t>
            </w:r>
          </w:p>
        </w:tc>
      </w:tr>
      <w:tr w:rsidR="00CF00D0" w:rsidRPr="002A217C" w:rsidTr="00615B8C">
        <w:trPr>
          <w:jc w:val="center"/>
        </w:trPr>
        <w:tc>
          <w:tcPr>
            <w:tcW w:w="4473" w:type="dxa"/>
          </w:tcPr>
          <w:p w:rsidR="00CF00D0" w:rsidRPr="002A217C" w:rsidRDefault="00CF00D0" w:rsidP="00B66C0C">
            <w:pPr>
              <w:spacing w:after="0" w:line="240" w:lineRule="auto"/>
              <w:rPr>
                <w:rFonts w:cs="Arial"/>
                <w:vertAlign w:val="superscript"/>
              </w:rPr>
            </w:pPr>
            <w:r w:rsidRPr="002A217C">
              <w:rPr>
                <w:rFonts w:cs="Arial"/>
              </w:rPr>
              <w:t>All Time Maximum Peak Demand</w:t>
            </w:r>
          </w:p>
        </w:tc>
        <w:tc>
          <w:tcPr>
            <w:tcW w:w="1619" w:type="dxa"/>
            <w:shd w:val="clear" w:color="auto" w:fill="auto"/>
          </w:tcPr>
          <w:p w:rsidR="00CF00D0" w:rsidRPr="00813F0C" w:rsidRDefault="00CF00D0" w:rsidP="00B66C0C">
            <w:pPr>
              <w:spacing w:after="0" w:line="240" w:lineRule="auto"/>
              <w:jc w:val="center"/>
              <w:rPr>
                <w:rFonts w:cs="Arial"/>
              </w:rPr>
            </w:pPr>
            <w:r w:rsidRPr="00813F0C">
              <w:rPr>
                <w:rFonts w:cs="Arial"/>
              </w:rPr>
              <w:t>1777 MW</w:t>
            </w:r>
          </w:p>
        </w:tc>
        <w:tc>
          <w:tcPr>
            <w:tcW w:w="4255" w:type="dxa"/>
            <w:shd w:val="clear" w:color="auto" w:fill="auto"/>
          </w:tcPr>
          <w:p w:rsidR="00CF00D0" w:rsidRPr="00813F0C" w:rsidRDefault="00CF00D0" w:rsidP="00B66C0C">
            <w:pPr>
              <w:spacing w:after="0" w:line="240" w:lineRule="auto"/>
              <w:rPr>
                <w:rFonts w:cs="Arial"/>
                <w:i/>
              </w:rPr>
            </w:pPr>
            <w:r w:rsidRPr="00813F0C">
              <w:rPr>
                <w:rFonts w:cs="Arial"/>
                <w:i/>
              </w:rPr>
              <w:t>18:00 hrs on 22</w:t>
            </w:r>
            <w:r w:rsidRPr="00813F0C">
              <w:rPr>
                <w:rFonts w:cs="Arial"/>
                <w:i/>
                <w:vertAlign w:val="superscript"/>
              </w:rPr>
              <w:t>nd</w:t>
            </w:r>
            <w:r w:rsidRPr="00813F0C">
              <w:rPr>
                <w:rFonts w:cs="Arial"/>
                <w:i/>
              </w:rPr>
              <w:t xml:space="preserve"> December 2010</w:t>
            </w:r>
          </w:p>
        </w:tc>
      </w:tr>
      <w:tr w:rsidR="0068542C" w:rsidRPr="002A217C" w:rsidTr="00615B8C">
        <w:trPr>
          <w:jc w:val="center"/>
        </w:trPr>
        <w:tc>
          <w:tcPr>
            <w:tcW w:w="4473" w:type="dxa"/>
          </w:tcPr>
          <w:p w:rsidR="0068542C" w:rsidRPr="002A217C" w:rsidRDefault="0068542C" w:rsidP="00B66C0C">
            <w:pPr>
              <w:spacing w:after="0" w:line="240" w:lineRule="auto"/>
              <w:rPr>
                <w:rFonts w:cs="Arial"/>
              </w:rPr>
            </w:pPr>
            <w:r w:rsidRPr="002A217C">
              <w:rPr>
                <w:rFonts w:cs="Arial"/>
              </w:rPr>
              <w:t>Installed Dispatchable Capacity</w:t>
            </w:r>
            <w:r w:rsidRPr="002A217C">
              <w:rPr>
                <w:rStyle w:val="FootnoteReference"/>
                <w:rFonts w:cs="Arial"/>
              </w:rPr>
              <w:footnoteReference w:id="2"/>
            </w:r>
          </w:p>
        </w:tc>
        <w:tc>
          <w:tcPr>
            <w:tcW w:w="1619" w:type="dxa"/>
            <w:shd w:val="clear" w:color="auto" w:fill="auto"/>
          </w:tcPr>
          <w:p w:rsidR="0068542C" w:rsidRPr="00813F0C" w:rsidRDefault="0068542C" w:rsidP="000B3505">
            <w:pPr>
              <w:spacing w:after="0" w:line="240" w:lineRule="auto"/>
              <w:jc w:val="center"/>
              <w:rPr>
                <w:rFonts w:cs="Arial"/>
              </w:rPr>
            </w:pPr>
            <w:r w:rsidRPr="00813F0C">
              <w:rPr>
                <w:rFonts w:cs="Arial"/>
              </w:rPr>
              <w:t>23</w:t>
            </w:r>
            <w:r w:rsidR="0079473F" w:rsidRPr="00813F0C">
              <w:rPr>
                <w:rFonts w:cs="Arial"/>
              </w:rPr>
              <w:t>36</w:t>
            </w:r>
            <w:r w:rsidRPr="00813F0C">
              <w:rPr>
                <w:rFonts w:cs="Arial"/>
              </w:rPr>
              <w:t xml:space="preserve"> MW</w:t>
            </w:r>
          </w:p>
        </w:tc>
        <w:tc>
          <w:tcPr>
            <w:tcW w:w="4255" w:type="dxa"/>
            <w:shd w:val="clear" w:color="auto" w:fill="auto"/>
          </w:tcPr>
          <w:p w:rsidR="0068542C" w:rsidRPr="00813F0C" w:rsidRDefault="008F23B5" w:rsidP="0039785D">
            <w:pPr>
              <w:spacing w:after="0" w:line="240" w:lineRule="auto"/>
              <w:rPr>
                <w:rFonts w:cs="Arial"/>
                <w:i/>
              </w:rPr>
            </w:pPr>
            <w:r w:rsidRPr="00813F0C">
              <w:rPr>
                <w:rFonts w:cs="Arial"/>
                <w:i/>
              </w:rPr>
              <w:t>As at 3</w:t>
            </w:r>
            <w:r w:rsidR="00696EA1" w:rsidRPr="00813F0C">
              <w:rPr>
                <w:rFonts w:cs="Arial"/>
                <w:i/>
              </w:rPr>
              <w:t>1</w:t>
            </w:r>
            <w:r w:rsidR="00696EA1" w:rsidRPr="00813F0C">
              <w:rPr>
                <w:rFonts w:cs="Arial"/>
                <w:i/>
                <w:vertAlign w:val="superscript"/>
              </w:rPr>
              <w:t>st</w:t>
            </w:r>
            <w:r w:rsidR="00696EA1" w:rsidRPr="00813F0C">
              <w:rPr>
                <w:rFonts w:cs="Arial"/>
                <w:i/>
              </w:rPr>
              <w:t xml:space="preserve"> </w:t>
            </w:r>
            <w:r w:rsidR="0039785D" w:rsidRPr="00813F0C">
              <w:rPr>
                <w:rFonts w:cs="Arial"/>
                <w:i/>
              </w:rPr>
              <w:t>Aug</w:t>
            </w:r>
            <w:r w:rsidRPr="00813F0C">
              <w:rPr>
                <w:rFonts w:cs="Arial"/>
                <w:i/>
              </w:rPr>
              <w:t xml:space="preserve"> 2012</w:t>
            </w:r>
          </w:p>
        </w:tc>
      </w:tr>
      <w:tr w:rsidR="00371AB1" w:rsidRPr="002A217C" w:rsidTr="005338F0">
        <w:trPr>
          <w:jc w:val="center"/>
        </w:trPr>
        <w:tc>
          <w:tcPr>
            <w:tcW w:w="4473" w:type="dxa"/>
          </w:tcPr>
          <w:p w:rsidR="00371AB1" w:rsidRPr="002A217C" w:rsidRDefault="00371AB1" w:rsidP="00B66C0C">
            <w:pPr>
              <w:spacing w:after="0" w:line="240" w:lineRule="auto"/>
              <w:rPr>
                <w:rFonts w:cs="Arial"/>
              </w:rPr>
            </w:pPr>
            <w:r w:rsidRPr="002A217C">
              <w:rPr>
                <w:rFonts w:cs="Arial"/>
              </w:rPr>
              <w:t>Installed Renewable Capacity</w:t>
            </w:r>
            <w:r w:rsidRPr="002A217C">
              <w:rPr>
                <w:rFonts w:cs="Arial"/>
                <w:vertAlign w:val="superscript"/>
              </w:rPr>
              <w:t>1</w:t>
            </w:r>
          </w:p>
        </w:tc>
        <w:tc>
          <w:tcPr>
            <w:tcW w:w="1619" w:type="dxa"/>
          </w:tcPr>
          <w:p w:rsidR="00371AB1" w:rsidRPr="00893BA3" w:rsidRDefault="00893BA3" w:rsidP="00531F4B">
            <w:pPr>
              <w:spacing w:after="0" w:line="240" w:lineRule="auto"/>
              <w:jc w:val="center"/>
              <w:rPr>
                <w:rFonts w:cs="Arial"/>
              </w:rPr>
            </w:pPr>
            <w:r w:rsidRPr="00893BA3">
              <w:rPr>
                <w:rFonts w:cs="Arial"/>
              </w:rPr>
              <w:t>484</w:t>
            </w:r>
            <w:r w:rsidR="00371AB1" w:rsidRPr="00893BA3">
              <w:rPr>
                <w:rFonts w:cs="Arial"/>
              </w:rPr>
              <w:t>MW</w:t>
            </w:r>
          </w:p>
        </w:tc>
        <w:tc>
          <w:tcPr>
            <w:tcW w:w="4255" w:type="dxa"/>
          </w:tcPr>
          <w:p w:rsidR="00371AB1" w:rsidRPr="00893BA3" w:rsidRDefault="00416BAC" w:rsidP="00893BA3">
            <w:pPr>
              <w:spacing w:after="0" w:line="240" w:lineRule="auto"/>
              <w:rPr>
                <w:rFonts w:cs="Arial"/>
                <w:i/>
              </w:rPr>
            </w:pPr>
            <w:r w:rsidRPr="00893BA3">
              <w:rPr>
                <w:rFonts w:cs="Arial"/>
                <w:i/>
              </w:rPr>
              <w:t xml:space="preserve">As at </w:t>
            </w:r>
            <w:r w:rsidR="00FD138B" w:rsidRPr="00893BA3">
              <w:rPr>
                <w:rFonts w:cs="Arial"/>
                <w:i/>
              </w:rPr>
              <w:t>3</w:t>
            </w:r>
            <w:r w:rsidR="00893BA3" w:rsidRPr="00893BA3">
              <w:rPr>
                <w:rFonts w:cs="Arial"/>
                <w:i/>
              </w:rPr>
              <w:t>0</w:t>
            </w:r>
            <w:r w:rsidR="00893BA3" w:rsidRPr="00893BA3">
              <w:rPr>
                <w:rFonts w:cs="Arial"/>
                <w:i/>
                <w:vertAlign w:val="superscript"/>
              </w:rPr>
              <w:t>th</w:t>
            </w:r>
            <w:r w:rsidR="00893BA3" w:rsidRPr="00893BA3">
              <w:rPr>
                <w:rFonts w:cs="Arial"/>
                <w:i/>
              </w:rPr>
              <w:t>Sept</w:t>
            </w:r>
            <w:r w:rsidR="00F77F99" w:rsidRPr="00893BA3">
              <w:rPr>
                <w:rFonts w:cs="Arial"/>
                <w:i/>
              </w:rPr>
              <w:t xml:space="preserve"> 2012</w:t>
            </w:r>
            <w:r w:rsidR="00021F9F" w:rsidRPr="00893BA3">
              <w:rPr>
                <w:rFonts w:cs="Arial"/>
                <w:i/>
              </w:rPr>
              <w:t xml:space="preserve"> (</w:t>
            </w:r>
            <w:r w:rsidR="00130D74" w:rsidRPr="00893BA3">
              <w:rPr>
                <w:rFonts w:cs="Arial"/>
                <w:i/>
              </w:rPr>
              <w:t>W</w:t>
            </w:r>
            <w:r w:rsidR="00EA58B1" w:rsidRPr="00893BA3">
              <w:rPr>
                <w:rFonts w:cs="Arial"/>
                <w:i/>
              </w:rPr>
              <w:t>ind</w:t>
            </w:r>
            <w:r w:rsidR="00336592" w:rsidRPr="00893BA3">
              <w:rPr>
                <w:rFonts w:cs="Arial"/>
                <w:i/>
                <w:vertAlign w:val="superscript"/>
              </w:rPr>
              <w:t>3</w:t>
            </w:r>
            <w:r w:rsidR="00EA58B1" w:rsidRPr="00893BA3">
              <w:rPr>
                <w:rFonts w:cs="Arial"/>
                <w:i/>
              </w:rPr>
              <w:t xml:space="preserve"> = </w:t>
            </w:r>
            <w:r w:rsidR="00893BA3" w:rsidRPr="00893BA3">
              <w:rPr>
                <w:rFonts w:cs="Arial"/>
                <w:i/>
              </w:rPr>
              <w:t>463</w:t>
            </w:r>
            <w:r w:rsidR="00021F9F" w:rsidRPr="00893BA3">
              <w:rPr>
                <w:rFonts w:cs="Arial"/>
                <w:i/>
              </w:rPr>
              <w:t xml:space="preserve"> MW)</w:t>
            </w:r>
          </w:p>
        </w:tc>
      </w:tr>
      <w:tr w:rsidR="00CF00D0" w:rsidRPr="0045614A" w:rsidTr="005338F0">
        <w:trPr>
          <w:jc w:val="center"/>
        </w:trPr>
        <w:tc>
          <w:tcPr>
            <w:tcW w:w="4473" w:type="dxa"/>
          </w:tcPr>
          <w:p w:rsidR="00CF00D0" w:rsidRPr="002A217C" w:rsidRDefault="0075556A" w:rsidP="00B66C0C">
            <w:pPr>
              <w:spacing w:after="0" w:line="240" w:lineRule="auto"/>
              <w:rPr>
                <w:rFonts w:cs="Arial"/>
                <w:vertAlign w:val="superscript"/>
              </w:rPr>
            </w:pPr>
            <w:r w:rsidRPr="002A217C">
              <w:rPr>
                <w:rFonts w:cs="Arial"/>
              </w:rPr>
              <w:t xml:space="preserve">2012 </w:t>
            </w:r>
            <w:r w:rsidR="00CF00D0" w:rsidRPr="002A217C">
              <w:rPr>
                <w:rFonts w:cs="Arial"/>
              </w:rPr>
              <w:t>Maximum Wind Output</w:t>
            </w:r>
            <w:r w:rsidR="00CF00D0" w:rsidRPr="002A217C">
              <w:rPr>
                <w:rStyle w:val="FootnoteReference"/>
                <w:rFonts w:cs="Arial"/>
              </w:rPr>
              <w:footnoteReference w:id="3"/>
            </w:r>
          </w:p>
        </w:tc>
        <w:tc>
          <w:tcPr>
            <w:tcW w:w="1619" w:type="dxa"/>
          </w:tcPr>
          <w:p w:rsidR="00CF00D0" w:rsidRPr="00813F0C" w:rsidRDefault="00813F0C" w:rsidP="009A2EFD">
            <w:pPr>
              <w:spacing w:after="0" w:line="240" w:lineRule="auto"/>
              <w:jc w:val="center"/>
              <w:rPr>
                <w:rFonts w:cs="Arial"/>
              </w:rPr>
            </w:pPr>
            <w:r w:rsidRPr="00813F0C">
              <w:rPr>
                <w:rFonts w:cs="Arial"/>
              </w:rPr>
              <w:t>395</w:t>
            </w:r>
            <w:r w:rsidR="00CF00D0" w:rsidRPr="00813F0C">
              <w:rPr>
                <w:rFonts w:cs="Arial"/>
              </w:rPr>
              <w:t xml:space="preserve"> MW</w:t>
            </w:r>
          </w:p>
        </w:tc>
        <w:tc>
          <w:tcPr>
            <w:tcW w:w="4255" w:type="dxa"/>
          </w:tcPr>
          <w:p w:rsidR="00CF00D0" w:rsidRPr="00813F0C" w:rsidRDefault="00813F0C" w:rsidP="00813F0C">
            <w:pPr>
              <w:spacing w:after="0" w:line="240" w:lineRule="auto"/>
              <w:rPr>
                <w:rFonts w:cs="Arial"/>
                <w:i/>
              </w:rPr>
            </w:pPr>
            <w:r w:rsidRPr="00813F0C">
              <w:rPr>
                <w:rFonts w:cs="Arial"/>
                <w:i/>
              </w:rPr>
              <w:t>16:</w:t>
            </w:r>
            <w:r w:rsidR="00615B8C" w:rsidRPr="00813F0C">
              <w:rPr>
                <w:rFonts w:cs="Arial"/>
                <w:i/>
              </w:rPr>
              <w:t xml:space="preserve">30 hrs on </w:t>
            </w:r>
            <w:r w:rsidRPr="00813F0C">
              <w:rPr>
                <w:rFonts w:cs="Arial"/>
                <w:i/>
              </w:rPr>
              <w:t>13</w:t>
            </w:r>
            <w:r w:rsidRPr="00813F0C">
              <w:rPr>
                <w:rFonts w:cs="Arial"/>
                <w:i/>
                <w:vertAlign w:val="superscript"/>
              </w:rPr>
              <w:t>th</w:t>
            </w:r>
            <w:r w:rsidRPr="00813F0C">
              <w:rPr>
                <w:rFonts w:cs="Arial"/>
                <w:i/>
              </w:rPr>
              <w:t xml:space="preserve"> September 2012</w:t>
            </w:r>
          </w:p>
        </w:tc>
      </w:tr>
    </w:tbl>
    <w:p w:rsidR="00893BA3" w:rsidRDefault="00893BA3" w:rsidP="005338F0">
      <w:pPr>
        <w:spacing w:after="0" w:line="240" w:lineRule="auto"/>
        <w:jc w:val="center"/>
        <w:rPr>
          <w:b/>
          <w:noProof/>
          <w:sz w:val="16"/>
          <w:szCs w:val="16"/>
          <w:lang w:val="en-US"/>
        </w:rPr>
      </w:pPr>
    </w:p>
    <w:p w:rsidR="00893BA3" w:rsidRDefault="00893BA3" w:rsidP="005338F0">
      <w:pPr>
        <w:spacing w:after="0" w:line="240" w:lineRule="auto"/>
        <w:jc w:val="center"/>
        <w:rPr>
          <w:b/>
          <w:noProof/>
          <w:sz w:val="16"/>
          <w:szCs w:val="16"/>
          <w:lang w:val="en-US"/>
        </w:rPr>
      </w:pPr>
      <w:r>
        <w:rPr>
          <w:b/>
          <w:noProof/>
          <w:sz w:val="16"/>
          <w:szCs w:val="16"/>
          <w:lang w:val="en-US"/>
        </w:rPr>
        <w:drawing>
          <wp:inline distT="0" distB="0" distL="0" distR="0">
            <wp:extent cx="6286500" cy="2056878"/>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291042" cy="2058364"/>
                    </a:xfrm>
                    <a:prstGeom prst="rect">
                      <a:avLst/>
                    </a:prstGeom>
                    <a:noFill/>
                  </pic:spPr>
                </pic:pic>
              </a:graphicData>
            </a:graphic>
          </wp:inline>
        </w:drawing>
      </w:r>
    </w:p>
    <w:p w:rsidR="00893BA3" w:rsidRDefault="00893BA3" w:rsidP="005338F0">
      <w:pPr>
        <w:spacing w:after="0" w:line="240" w:lineRule="auto"/>
        <w:jc w:val="center"/>
        <w:rPr>
          <w:b/>
          <w:noProof/>
          <w:sz w:val="16"/>
          <w:szCs w:val="16"/>
          <w:lang w:val="en-US"/>
        </w:rPr>
      </w:pPr>
    </w:p>
    <w:p w:rsidR="00893BA3" w:rsidRDefault="00893BA3" w:rsidP="005338F0">
      <w:pPr>
        <w:spacing w:after="0" w:line="240" w:lineRule="auto"/>
        <w:jc w:val="center"/>
        <w:rPr>
          <w:b/>
          <w:noProof/>
          <w:sz w:val="16"/>
          <w:szCs w:val="16"/>
          <w:lang w:val="en-US"/>
        </w:rPr>
      </w:pPr>
      <w:r w:rsidRPr="00893BA3">
        <w:rPr>
          <w:b/>
          <w:noProof/>
          <w:sz w:val="16"/>
          <w:szCs w:val="16"/>
          <w:lang w:val="en-US"/>
        </w:rPr>
        <w:drawing>
          <wp:inline distT="0" distB="0" distL="0" distR="0">
            <wp:extent cx="6084373" cy="2066925"/>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081963" cy="2066106"/>
                    </a:xfrm>
                    <a:prstGeom prst="rect">
                      <a:avLst/>
                    </a:prstGeom>
                    <a:noFill/>
                  </pic:spPr>
                </pic:pic>
              </a:graphicData>
            </a:graphic>
          </wp:inline>
        </w:drawing>
      </w:r>
    </w:p>
    <w:p w:rsidR="00893BA3" w:rsidRDefault="00893BA3" w:rsidP="005338F0">
      <w:pPr>
        <w:spacing w:after="0" w:line="240" w:lineRule="auto"/>
        <w:jc w:val="center"/>
        <w:rPr>
          <w:b/>
          <w:noProof/>
          <w:sz w:val="16"/>
          <w:szCs w:val="16"/>
          <w:lang w:val="en-US"/>
        </w:rPr>
      </w:pPr>
    </w:p>
    <w:p w:rsidR="00893BA3" w:rsidRDefault="00893BA3" w:rsidP="005338F0">
      <w:pPr>
        <w:spacing w:after="0" w:line="240" w:lineRule="auto"/>
        <w:jc w:val="center"/>
        <w:rPr>
          <w:b/>
          <w:noProof/>
          <w:sz w:val="16"/>
          <w:szCs w:val="16"/>
          <w:lang w:val="en-US"/>
        </w:rPr>
      </w:pPr>
    </w:p>
    <w:p w:rsidR="00893BA3" w:rsidRDefault="00893BA3" w:rsidP="005338F0">
      <w:pPr>
        <w:spacing w:after="0" w:line="240" w:lineRule="auto"/>
        <w:jc w:val="center"/>
        <w:rPr>
          <w:b/>
          <w:noProof/>
          <w:sz w:val="16"/>
          <w:szCs w:val="16"/>
          <w:lang w:val="en-US"/>
        </w:rPr>
      </w:pPr>
    </w:p>
    <w:p w:rsidR="00893BA3" w:rsidRDefault="00893BA3" w:rsidP="005338F0">
      <w:pPr>
        <w:spacing w:after="0" w:line="240" w:lineRule="auto"/>
        <w:jc w:val="center"/>
        <w:rPr>
          <w:b/>
          <w:noProof/>
          <w:sz w:val="16"/>
          <w:szCs w:val="16"/>
          <w:lang w:val="en-US"/>
        </w:rPr>
      </w:pPr>
    </w:p>
    <w:p w:rsidR="00893BA3" w:rsidRDefault="00893BA3" w:rsidP="005338F0">
      <w:pPr>
        <w:spacing w:after="0" w:line="240" w:lineRule="auto"/>
        <w:jc w:val="center"/>
        <w:rPr>
          <w:b/>
          <w:noProof/>
          <w:sz w:val="16"/>
          <w:szCs w:val="16"/>
          <w:lang w:val="en-US"/>
        </w:rPr>
      </w:pPr>
    </w:p>
    <w:p w:rsidR="00893BA3" w:rsidRDefault="00893BA3" w:rsidP="005338F0">
      <w:pPr>
        <w:spacing w:after="0" w:line="240" w:lineRule="auto"/>
        <w:jc w:val="center"/>
        <w:rPr>
          <w:b/>
          <w:noProof/>
          <w:sz w:val="16"/>
          <w:szCs w:val="16"/>
          <w:lang w:val="en-US"/>
        </w:rPr>
      </w:pPr>
    </w:p>
    <w:p w:rsidR="00893BA3" w:rsidRDefault="00893BA3" w:rsidP="005338F0">
      <w:pPr>
        <w:spacing w:after="0" w:line="240" w:lineRule="auto"/>
        <w:jc w:val="center"/>
        <w:rPr>
          <w:b/>
          <w:noProof/>
          <w:sz w:val="16"/>
          <w:szCs w:val="16"/>
          <w:lang w:val="en-US"/>
        </w:rPr>
      </w:pPr>
    </w:p>
    <w:p w:rsidR="00E40339" w:rsidRDefault="00E40339" w:rsidP="00E40339">
      <w:pPr>
        <w:spacing w:after="0" w:line="240" w:lineRule="auto"/>
        <w:jc w:val="center"/>
        <w:rPr>
          <w:b/>
          <w:noProof/>
          <w:sz w:val="16"/>
          <w:szCs w:val="16"/>
          <w:lang w:val="en-US"/>
        </w:rPr>
      </w:pPr>
    </w:p>
    <w:p w:rsidR="00E40339" w:rsidRDefault="00E40339" w:rsidP="00E40339">
      <w:pPr>
        <w:spacing w:after="0" w:line="240" w:lineRule="auto"/>
        <w:jc w:val="center"/>
        <w:rPr>
          <w:b/>
          <w:noProof/>
          <w:sz w:val="16"/>
          <w:szCs w:val="16"/>
          <w:lang w:val="en-US"/>
        </w:rPr>
      </w:pPr>
    </w:p>
    <w:p w:rsidR="008F23B5" w:rsidRPr="0018270B" w:rsidRDefault="008F23B5" w:rsidP="00E40339">
      <w:pPr>
        <w:spacing w:after="0" w:line="240" w:lineRule="auto"/>
        <w:jc w:val="center"/>
        <w:rPr>
          <w:b/>
          <w:noProof/>
          <w:sz w:val="16"/>
          <w:szCs w:val="16"/>
          <w:lang w:val="en-US"/>
        </w:rPr>
      </w:pPr>
    </w:p>
    <w:sectPr w:rsidR="008F23B5" w:rsidRPr="0018270B" w:rsidSect="005338F0">
      <w:headerReference w:type="default" r:id="rId10"/>
      <w:footerReference w:type="default" r:id="rId11"/>
      <w:pgSz w:w="12240" w:h="15840"/>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F0C" w:rsidRDefault="00813F0C" w:rsidP="004B78A8">
      <w:pPr>
        <w:spacing w:after="0" w:line="240" w:lineRule="auto"/>
      </w:pPr>
      <w:r>
        <w:separator/>
      </w:r>
    </w:p>
  </w:endnote>
  <w:endnote w:type="continuationSeparator" w:id="0">
    <w:p w:rsidR="00813F0C" w:rsidRDefault="00813F0C" w:rsidP="004B78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0C" w:rsidRDefault="00813F0C" w:rsidP="00F20F14">
    <w:pPr>
      <w:spacing w:after="0" w:line="240" w:lineRule="auto"/>
      <w:jc w:val="center"/>
      <w:rPr>
        <w:b/>
        <w:sz w:val="16"/>
        <w:szCs w:val="16"/>
      </w:rPr>
    </w:pPr>
  </w:p>
  <w:p w:rsidR="00813F0C" w:rsidRDefault="00813F0C" w:rsidP="00F20F14">
    <w:pPr>
      <w:spacing w:after="0" w:line="240" w:lineRule="auto"/>
      <w:jc w:val="center"/>
      <w:rPr>
        <w:sz w:val="16"/>
        <w:szCs w:val="16"/>
      </w:rPr>
    </w:pPr>
    <w:r w:rsidRPr="00F20F14">
      <w:rPr>
        <w:b/>
        <w:sz w:val="16"/>
        <w:szCs w:val="16"/>
      </w:rPr>
      <w:t xml:space="preserve">If you need any further information on these statistics, please email </w:t>
    </w:r>
    <w:hyperlink r:id="rId1" w:history="1">
      <w:r w:rsidRPr="00F20F14">
        <w:rPr>
          <w:rStyle w:val="Hyperlink"/>
          <w:b/>
          <w:color w:val="0070C0"/>
          <w:sz w:val="16"/>
          <w:szCs w:val="16"/>
        </w:rPr>
        <w:t>enquiries@soni.ltd.uk</w:t>
      </w:r>
    </w:hyperlink>
    <w:r w:rsidRPr="00F20F14">
      <w:rPr>
        <w:b/>
        <w:sz w:val="16"/>
        <w:szCs w:val="16"/>
      </w:rPr>
      <w:t xml:space="preserve"> or go to </w:t>
    </w:r>
    <w:hyperlink r:id="rId2" w:history="1">
      <w:r w:rsidRPr="00F20F14">
        <w:rPr>
          <w:rStyle w:val="Hyperlink"/>
          <w:b/>
          <w:color w:val="0070C0"/>
          <w:sz w:val="16"/>
          <w:szCs w:val="16"/>
        </w:rPr>
        <w:t>www.soni.ltd.uk</w:t>
      </w:r>
    </w:hyperlink>
    <w:r>
      <w:rPr>
        <w:sz w:val="16"/>
        <w:szCs w:val="16"/>
      </w:rPr>
      <w:t>.</w:t>
    </w:r>
  </w:p>
  <w:p w:rsidR="00813F0C" w:rsidRPr="003C0B66" w:rsidRDefault="00813F0C" w:rsidP="00F20F14">
    <w:pPr>
      <w:spacing w:after="0" w:line="240" w:lineRule="auto"/>
      <w:jc w:val="center"/>
      <w:rPr>
        <w:sz w:val="6"/>
        <w:szCs w:val="6"/>
      </w:rPr>
    </w:pPr>
  </w:p>
  <w:p w:rsidR="00813F0C" w:rsidRDefault="00813F0C" w:rsidP="00226E40">
    <w:pPr>
      <w:spacing w:after="0" w:line="240" w:lineRule="auto"/>
      <w:jc w:val="center"/>
      <w:rPr>
        <w:b/>
        <w:sz w:val="16"/>
        <w:szCs w:val="16"/>
      </w:rPr>
    </w:pPr>
    <w:r w:rsidRPr="00F20F14">
      <w:rPr>
        <w:b/>
        <w:sz w:val="16"/>
        <w:szCs w:val="16"/>
      </w:rPr>
      <w:t>All the above data is preliminary and is expressed in</w:t>
    </w:r>
    <w:r>
      <w:rPr>
        <w:b/>
        <w:sz w:val="16"/>
        <w:szCs w:val="16"/>
      </w:rPr>
      <w:t xml:space="preserve"> terms of</w:t>
    </w:r>
    <w:r w:rsidRPr="00F20F14">
      <w:rPr>
        <w:b/>
        <w:sz w:val="16"/>
        <w:szCs w:val="16"/>
      </w:rPr>
      <w:t xml:space="preserve"> Sent-Out (Exported) </w:t>
    </w:r>
    <w:r>
      <w:rPr>
        <w:b/>
        <w:sz w:val="16"/>
        <w:szCs w:val="16"/>
      </w:rPr>
      <w:t>generation.</w:t>
    </w:r>
  </w:p>
  <w:p w:rsidR="00813F0C" w:rsidRPr="003C0B66" w:rsidRDefault="00813F0C" w:rsidP="00F20F14">
    <w:pPr>
      <w:spacing w:after="0" w:line="240" w:lineRule="auto"/>
      <w:jc w:val="center"/>
      <w:rPr>
        <w:b/>
        <w:sz w:val="6"/>
        <w:szCs w:val="6"/>
      </w:rPr>
    </w:pPr>
  </w:p>
  <w:p w:rsidR="00813F0C" w:rsidRDefault="00813F0C" w:rsidP="00F20F14">
    <w:pPr>
      <w:spacing w:after="0" w:line="240" w:lineRule="auto"/>
      <w:jc w:val="center"/>
      <w:rPr>
        <w:b/>
        <w:sz w:val="16"/>
        <w:szCs w:val="16"/>
      </w:rPr>
    </w:pPr>
    <w:r w:rsidRPr="00F20F14">
      <w:rPr>
        <w:b/>
        <w:sz w:val="16"/>
        <w:szCs w:val="16"/>
      </w:rPr>
      <w:t>Further information on monthly wind and fuel mix</w:t>
    </w:r>
    <w:r>
      <w:rPr>
        <w:b/>
        <w:sz w:val="16"/>
        <w:szCs w:val="16"/>
      </w:rPr>
      <w:t xml:space="preserve"> can be found</w:t>
    </w:r>
    <w:r w:rsidRPr="00F20F14">
      <w:rPr>
        <w:b/>
        <w:sz w:val="16"/>
        <w:szCs w:val="16"/>
      </w:rPr>
      <w:t xml:space="preserve"> at</w:t>
    </w:r>
    <w:r>
      <w:rPr>
        <w:b/>
        <w:sz w:val="16"/>
        <w:szCs w:val="16"/>
      </w:rPr>
      <w:t>:</w:t>
    </w:r>
  </w:p>
  <w:p w:rsidR="00813F0C" w:rsidRPr="00F20F14" w:rsidRDefault="00813F0C" w:rsidP="00F20F14">
    <w:pPr>
      <w:spacing w:after="0" w:line="240" w:lineRule="auto"/>
      <w:jc w:val="center"/>
      <w:rPr>
        <w:b/>
        <w:sz w:val="16"/>
        <w:szCs w:val="16"/>
      </w:rPr>
    </w:pPr>
    <w:hyperlink r:id="rId3" w:history="1">
      <w:r w:rsidRPr="000848FC">
        <w:rPr>
          <w:rStyle w:val="Hyperlink"/>
          <w:b/>
          <w:sz w:val="16"/>
          <w:szCs w:val="16"/>
        </w:rPr>
        <w:t>http://www.eirgrid.com/operations/systemperformancedata/all-islandwindandfuelmixreport</w:t>
      </w:r>
    </w:hyperlink>
  </w:p>
  <w:p w:rsidR="00813F0C" w:rsidRPr="003C0B66" w:rsidRDefault="00813F0C" w:rsidP="00F20F14">
    <w:pPr>
      <w:spacing w:after="0" w:line="240" w:lineRule="auto"/>
      <w:jc w:val="center"/>
      <w:rPr>
        <w:b/>
        <w:sz w:val="6"/>
        <w:szCs w:val="6"/>
      </w:rPr>
    </w:pPr>
  </w:p>
  <w:p w:rsidR="00813F0C" w:rsidRPr="00F20F14" w:rsidRDefault="00813F0C" w:rsidP="00F20F14">
    <w:pPr>
      <w:spacing w:after="0" w:line="240" w:lineRule="auto"/>
      <w:jc w:val="center"/>
      <w:rPr>
        <w:sz w:val="16"/>
        <w:szCs w:val="16"/>
      </w:rPr>
    </w:pPr>
    <w:r w:rsidRPr="00F20F14">
      <w:rPr>
        <w:b/>
        <w:sz w:val="16"/>
        <w:szCs w:val="16"/>
      </w:rPr>
      <w:t>While every effort has been made in the compilation of this report to ensure that the information contained herein is correct we cannot accept any responsibility or liability whatsoever for any damage caused by reliance on the information presented here.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F0C" w:rsidRDefault="00813F0C" w:rsidP="004B78A8">
      <w:pPr>
        <w:spacing w:after="0" w:line="240" w:lineRule="auto"/>
      </w:pPr>
      <w:r>
        <w:separator/>
      </w:r>
    </w:p>
  </w:footnote>
  <w:footnote w:type="continuationSeparator" w:id="0">
    <w:p w:rsidR="00813F0C" w:rsidRDefault="00813F0C" w:rsidP="004B78A8">
      <w:pPr>
        <w:spacing w:after="0" w:line="240" w:lineRule="auto"/>
      </w:pPr>
      <w:r>
        <w:continuationSeparator/>
      </w:r>
    </w:p>
  </w:footnote>
  <w:footnote w:id="1">
    <w:p w:rsidR="00813F0C" w:rsidRPr="00424B97" w:rsidRDefault="00813F0C" w:rsidP="00260E27">
      <w:pPr>
        <w:pStyle w:val="FootnoteText"/>
        <w:rPr>
          <w:highlight w:val="yellow"/>
        </w:rPr>
      </w:pPr>
      <w:r w:rsidRPr="00B53035">
        <w:rPr>
          <w:rStyle w:val="FootnoteReference"/>
        </w:rPr>
        <w:footnoteRef/>
      </w:r>
      <w:r w:rsidRPr="00B53035">
        <w:t xml:space="preserve"> </w:t>
      </w:r>
      <w:r w:rsidRPr="00B53035">
        <w:rPr>
          <w:b/>
          <w:sz w:val="16"/>
          <w:szCs w:val="16"/>
        </w:rPr>
        <w:t xml:space="preserve">Includes Large Scale </w:t>
      </w:r>
      <w:r>
        <w:rPr>
          <w:b/>
          <w:sz w:val="16"/>
          <w:szCs w:val="16"/>
        </w:rPr>
        <w:t xml:space="preserve">Wind (≥1 </w:t>
      </w:r>
      <w:r w:rsidRPr="002A217C">
        <w:rPr>
          <w:b/>
          <w:sz w:val="16"/>
          <w:szCs w:val="16"/>
        </w:rPr>
        <w:t xml:space="preserve">MW = </w:t>
      </w:r>
      <w:r w:rsidR="00893BA3">
        <w:rPr>
          <w:b/>
          <w:sz w:val="16"/>
          <w:szCs w:val="16"/>
        </w:rPr>
        <w:t>450.9</w:t>
      </w:r>
      <w:r w:rsidRPr="00E40339">
        <w:rPr>
          <w:b/>
          <w:sz w:val="16"/>
          <w:szCs w:val="16"/>
        </w:rPr>
        <w:t xml:space="preserve"> MW</w:t>
      </w:r>
      <w:r w:rsidRPr="008F23B5">
        <w:rPr>
          <w:b/>
          <w:sz w:val="16"/>
          <w:szCs w:val="16"/>
        </w:rPr>
        <w:t>),</w:t>
      </w:r>
      <w:r w:rsidRPr="00A10134">
        <w:rPr>
          <w:b/>
          <w:sz w:val="16"/>
          <w:szCs w:val="16"/>
        </w:rPr>
        <w:t xml:space="preserve"> Small</w:t>
      </w:r>
      <w:r w:rsidRPr="00B53035">
        <w:rPr>
          <w:b/>
          <w:sz w:val="16"/>
          <w:szCs w:val="16"/>
        </w:rPr>
        <w:t xml:space="preserve"> Scale Wind, Hydro, Tidal, Biomass, PV and Landfill Gas</w:t>
      </w:r>
    </w:p>
  </w:footnote>
  <w:footnote w:id="2">
    <w:p w:rsidR="00813F0C" w:rsidRPr="00B53035" w:rsidRDefault="00813F0C" w:rsidP="00260E27">
      <w:pPr>
        <w:spacing w:after="0" w:line="240" w:lineRule="auto"/>
      </w:pPr>
      <w:r w:rsidRPr="00B53035">
        <w:rPr>
          <w:rStyle w:val="FootnoteReference"/>
        </w:rPr>
        <w:footnoteRef/>
      </w:r>
      <w:r w:rsidRPr="00B53035">
        <w:t xml:space="preserve"> </w:t>
      </w:r>
      <w:r w:rsidRPr="00B53035">
        <w:rPr>
          <w:b/>
          <w:sz w:val="16"/>
          <w:szCs w:val="16"/>
        </w:rPr>
        <w:t xml:space="preserve">Excludes import capacity of Moyle. </w:t>
      </w:r>
      <w:r w:rsidRPr="0070178E">
        <w:rPr>
          <w:b/>
          <w:sz w:val="16"/>
          <w:szCs w:val="16"/>
        </w:rPr>
        <w:t>(Import = 450MW Nov-Mar &amp; 410MW Apr-Oct. Export = 295MW Sep-Apr &amp; 287MW May-Aug).</w:t>
      </w:r>
    </w:p>
  </w:footnote>
  <w:footnote w:id="3">
    <w:p w:rsidR="00813F0C" w:rsidRDefault="00813F0C" w:rsidP="00260E27">
      <w:pPr>
        <w:pStyle w:val="FootnoteText"/>
      </w:pPr>
      <w:r w:rsidRPr="00B53035">
        <w:rPr>
          <w:rStyle w:val="FootnoteReference"/>
        </w:rPr>
        <w:footnoteRef/>
      </w:r>
      <w:r w:rsidRPr="00B53035">
        <w:t xml:space="preserve"> </w:t>
      </w:r>
      <w:r w:rsidRPr="00B53035">
        <w:rPr>
          <w:b/>
          <w:sz w:val="16"/>
          <w:szCs w:val="16"/>
        </w:rPr>
        <w:t>Includes Large Scale Wind and Small Scale Wind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0C" w:rsidRDefault="00813F0C">
    <w:pPr>
      <w:pStyle w:val="Header"/>
    </w:pPr>
    <w:r>
      <w:tab/>
    </w:r>
    <w:r>
      <w:tab/>
    </w:r>
    <w:r>
      <w:rPr>
        <w:noProof/>
        <w:lang w:val="en-US"/>
      </w:rPr>
      <w:drawing>
        <wp:inline distT="0" distB="0" distL="0" distR="0">
          <wp:extent cx="914400" cy="447675"/>
          <wp:effectExtent l="19050" t="0" r="0" b="0"/>
          <wp:docPr id="3" name="Picture 1" descr="P:\SONI 5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ONI 50.bmp"/>
                  <pic:cNvPicPr>
                    <a:picLocks noChangeAspect="1" noChangeArrowheads="1"/>
                  </pic:cNvPicPr>
                </pic:nvPicPr>
                <pic:blipFill>
                  <a:blip r:embed="rId1"/>
                  <a:srcRect/>
                  <a:stretch>
                    <a:fillRect/>
                  </a:stretch>
                </pic:blipFill>
                <pic:spPr bwMode="auto">
                  <a:xfrm>
                    <a:off x="0" y="0"/>
                    <a:ext cx="914400" cy="4476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A4E38"/>
    <w:multiLevelType w:val="hybridMultilevel"/>
    <w:tmpl w:val="DF0210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rsids>
    <w:rsidRoot w:val="00682761"/>
    <w:rsid w:val="00005546"/>
    <w:rsid w:val="0001219F"/>
    <w:rsid w:val="0001794D"/>
    <w:rsid w:val="000212C2"/>
    <w:rsid w:val="00021F9F"/>
    <w:rsid w:val="0002246C"/>
    <w:rsid w:val="00037B29"/>
    <w:rsid w:val="000423FE"/>
    <w:rsid w:val="00044401"/>
    <w:rsid w:val="0004642D"/>
    <w:rsid w:val="00063935"/>
    <w:rsid w:val="00086BC0"/>
    <w:rsid w:val="000873D3"/>
    <w:rsid w:val="000960CC"/>
    <w:rsid w:val="000A0C29"/>
    <w:rsid w:val="000B151F"/>
    <w:rsid w:val="000B3505"/>
    <w:rsid w:val="000B4B5B"/>
    <w:rsid w:val="000B524A"/>
    <w:rsid w:val="000C41AD"/>
    <w:rsid w:val="000D4C22"/>
    <w:rsid w:val="000D6500"/>
    <w:rsid w:val="000E471F"/>
    <w:rsid w:val="000F1CB7"/>
    <w:rsid w:val="000F585E"/>
    <w:rsid w:val="0010054A"/>
    <w:rsid w:val="00107C6B"/>
    <w:rsid w:val="00113DD8"/>
    <w:rsid w:val="00115068"/>
    <w:rsid w:val="0011764F"/>
    <w:rsid w:val="00130D74"/>
    <w:rsid w:val="00131EEC"/>
    <w:rsid w:val="00134F69"/>
    <w:rsid w:val="00135878"/>
    <w:rsid w:val="00136424"/>
    <w:rsid w:val="00140EDB"/>
    <w:rsid w:val="00166564"/>
    <w:rsid w:val="001672B6"/>
    <w:rsid w:val="00171C78"/>
    <w:rsid w:val="00173F01"/>
    <w:rsid w:val="0018270B"/>
    <w:rsid w:val="001A04D8"/>
    <w:rsid w:val="001A67C2"/>
    <w:rsid w:val="001B34C2"/>
    <w:rsid w:val="001C2B94"/>
    <w:rsid w:val="001C78ED"/>
    <w:rsid w:val="001E6710"/>
    <w:rsid w:val="001F5027"/>
    <w:rsid w:val="001F782B"/>
    <w:rsid w:val="00201FEC"/>
    <w:rsid w:val="002248D4"/>
    <w:rsid w:val="00226E40"/>
    <w:rsid w:val="00235593"/>
    <w:rsid w:val="00236218"/>
    <w:rsid w:val="00260E27"/>
    <w:rsid w:val="00262129"/>
    <w:rsid w:val="0026276B"/>
    <w:rsid w:val="0027282D"/>
    <w:rsid w:val="002800E3"/>
    <w:rsid w:val="00283F1E"/>
    <w:rsid w:val="002846B4"/>
    <w:rsid w:val="00285491"/>
    <w:rsid w:val="0029138C"/>
    <w:rsid w:val="00294C68"/>
    <w:rsid w:val="002A16A3"/>
    <w:rsid w:val="002A1E73"/>
    <w:rsid w:val="002A217C"/>
    <w:rsid w:val="002A5006"/>
    <w:rsid w:val="002B4B92"/>
    <w:rsid w:val="002B743C"/>
    <w:rsid w:val="002C161E"/>
    <w:rsid w:val="002C4BE7"/>
    <w:rsid w:val="002C625D"/>
    <w:rsid w:val="002C68CD"/>
    <w:rsid w:val="002E12F4"/>
    <w:rsid w:val="002E22F5"/>
    <w:rsid w:val="002E3967"/>
    <w:rsid w:val="002F129B"/>
    <w:rsid w:val="002F384B"/>
    <w:rsid w:val="002F7517"/>
    <w:rsid w:val="00301E7F"/>
    <w:rsid w:val="0031684F"/>
    <w:rsid w:val="003173FB"/>
    <w:rsid w:val="0032467C"/>
    <w:rsid w:val="00325F73"/>
    <w:rsid w:val="00330810"/>
    <w:rsid w:val="00331174"/>
    <w:rsid w:val="00332308"/>
    <w:rsid w:val="00336592"/>
    <w:rsid w:val="003379DE"/>
    <w:rsid w:val="00341A11"/>
    <w:rsid w:val="003439DF"/>
    <w:rsid w:val="003445E7"/>
    <w:rsid w:val="00344854"/>
    <w:rsid w:val="00347161"/>
    <w:rsid w:val="00350D19"/>
    <w:rsid w:val="00360DA8"/>
    <w:rsid w:val="00361602"/>
    <w:rsid w:val="00363196"/>
    <w:rsid w:val="0037112A"/>
    <w:rsid w:val="00371AB1"/>
    <w:rsid w:val="00371B0C"/>
    <w:rsid w:val="00387D9D"/>
    <w:rsid w:val="0039355F"/>
    <w:rsid w:val="0039785D"/>
    <w:rsid w:val="003A173D"/>
    <w:rsid w:val="003A1EA0"/>
    <w:rsid w:val="003A4932"/>
    <w:rsid w:val="003A7F2D"/>
    <w:rsid w:val="003B01D7"/>
    <w:rsid w:val="003B375C"/>
    <w:rsid w:val="003C08F5"/>
    <w:rsid w:val="003C0B66"/>
    <w:rsid w:val="003C4B20"/>
    <w:rsid w:val="003C6D77"/>
    <w:rsid w:val="003D1689"/>
    <w:rsid w:val="003E2EC4"/>
    <w:rsid w:val="003E50E3"/>
    <w:rsid w:val="003E63E2"/>
    <w:rsid w:val="003F5377"/>
    <w:rsid w:val="0040218C"/>
    <w:rsid w:val="004021F1"/>
    <w:rsid w:val="00411AFB"/>
    <w:rsid w:val="00412E2A"/>
    <w:rsid w:val="00416BAC"/>
    <w:rsid w:val="00424B97"/>
    <w:rsid w:val="0043503B"/>
    <w:rsid w:val="00454029"/>
    <w:rsid w:val="0045614A"/>
    <w:rsid w:val="00456485"/>
    <w:rsid w:val="00466224"/>
    <w:rsid w:val="00467D6B"/>
    <w:rsid w:val="004702CA"/>
    <w:rsid w:val="00471179"/>
    <w:rsid w:val="004726F0"/>
    <w:rsid w:val="004832AD"/>
    <w:rsid w:val="0048632C"/>
    <w:rsid w:val="004A7EE2"/>
    <w:rsid w:val="004B78A8"/>
    <w:rsid w:val="005015B3"/>
    <w:rsid w:val="00502BF0"/>
    <w:rsid w:val="0050492F"/>
    <w:rsid w:val="00515A0B"/>
    <w:rsid w:val="005160A2"/>
    <w:rsid w:val="00522E83"/>
    <w:rsid w:val="005270CD"/>
    <w:rsid w:val="00531F4B"/>
    <w:rsid w:val="005338F0"/>
    <w:rsid w:val="00535270"/>
    <w:rsid w:val="00537E36"/>
    <w:rsid w:val="00562FB7"/>
    <w:rsid w:val="00564277"/>
    <w:rsid w:val="00574156"/>
    <w:rsid w:val="0057618E"/>
    <w:rsid w:val="005858B7"/>
    <w:rsid w:val="00585986"/>
    <w:rsid w:val="0059683A"/>
    <w:rsid w:val="00596B82"/>
    <w:rsid w:val="005A2684"/>
    <w:rsid w:val="005B51DA"/>
    <w:rsid w:val="005B60B7"/>
    <w:rsid w:val="005C6046"/>
    <w:rsid w:val="005C6E49"/>
    <w:rsid w:val="005E0955"/>
    <w:rsid w:val="005E4739"/>
    <w:rsid w:val="005E4817"/>
    <w:rsid w:val="005E5437"/>
    <w:rsid w:val="005F069F"/>
    <w:rsid w:val="005F080D"/>
    <w:rsid w:val="005F49F3"/>
    <w:rsid w:val="006008B2"/>
    <w:rsid w:val="006103EB"/>
    <w:rsid w:val="00612C2C"/>
    <w:rsid w:val="00615B8C"/>
    <w:rsid w:val="0061731D"/>
    <w:rsid w:val="00626C79"/>
    <w:rsid w:val="0064238D"/>
    <w:rsid w:val="006443CC"/>
    <w:rsid w:val="006548C7"/>
    <w:rsid w:val="0066453B"/>
    <w:rsid w:val="00673822"/>
    <w:rsid w:val="00674F69"/>
    <w:rsid w:val="00676A36"/>
    <w:rsid w:val="00682761"/>
    <w:rsid w:val="0068542C"/>
    <w:rsid w:val="00686A76"/>
    <w:rsid w:val="00692988"/>
    <w:rsid w:val="00696EA1"/>
    <w:rsid w:val="006A5CE8"/>
    <w:rsid w:val="006A7599"/>
    <w:rsid w:val="006A7A8B"/>
    <w:rsid w:val="006A7BAB"/>
    <w:rsid w:val="006B06EA"/>
    <w:rsid w:val="006C3DDB"/>
    <w:rsid w:val="006C3EC3"/>
    <w:rsid w:val="006F2900"/>
    <w:rsid w:val="006F36CD"/>
    <w:rsid w:val="0070178E"/>
    <w:rsid w:val="00703683"/>
    <w:rsid w:val="00710B7C"/>
    <w:rsid w:val="0071543D"/>
    <w:rsid w:val="0073370A"/>
    <w:rsid w:val="0073686E"/>
    <w:rsid w:val="00737547"/>
    <w:rsid w:val="00744F70"/>
    <w:rsid w:val="0075556A"/>
    <w:rsid w:val="00772B87"/>
    <w:rsid w:val="00777666"/>
    <w:rsid w:val="00782547"/>
    <w:rsid w:val="00782800"/>
    <w:rsid w:val="0079473F"/>
    <w:rsid w:val="007A5A0F"/>
    <w:rsid w:val="007D427F"/>
    <w:rsid w:val="007D7061"/>
    <w:rsid w:val="007E1A2C"/>
    <w:rsid w:val="007E6F62"/>
    <w:rsid w:val="007F5895"/>
    <w:rsid w:val="007F69D5"/>
    <w:rsid w:val="0081110B"/>
    <w:rsid w:val="00813F0C"/>
    <w:rsid w:val="008204E8"/>
    <w:rsid w:val="0082451E"/>
    <w:rsid w:val="008361D8"/>
    <w:rsid w:val="00840E0E"/>
    <w:rsid w:val="00851F65"/>
    <w:rsid w:val="008612AF"/>
    <w:rsid w:val="0086280B"/>
    <w:rsid w:val="0087043B"/>
    <w:rsid w:val="00880261"/>
    <w:rsid w:val="00885B81"/>
    <w:rsid w:val="00893BA3"/>
    <w:rsid w:val="008971E9"/>
    <w:rsid w:val="008B1E97"/>
    <w:rsid w:val="008C40C1"/>
    <w:rsid w:val="008E79E7"/>
    <w:rsid w:val="008F02F4"/>
    <w:rsid w:val="008F23B5"/>
    <w:rsid w:val="00904A2A"/>
    <w:rsid w:val="00905E8C"/>
    <w:rsid w:val="009113B5"/>
    <w:rsid w:val="00917F9F"/>
    <w:rsid w:val="00921F21"/>
    <w:rsid w:val="009240D0"/>
    <w:rsid w:val="00941F4A"/>
    <w:rsid w:val="009451D2"/>
    <w:rsid w:val="00950CCE"/>
    <w:rsid w:val="00962B47"/>
    <w:rsid w:val="0096725A"/>
    <w:rsid w:val="00967F5D"/>
    <w:rsid w:val="00975533"/>
    <w:rsid w:val="0098107F"/>
    <w:rsid w:val="009849F3"/>
    <w:rsid w:val="009A12C1"/>
    <w:rsid w:val="009A2EFD"/>
    <w:rsid w:val="009B439D"/>
    <w:rsid w:val="009C3867"/>
    <w:rsid w:val="009D27D8"/>
    <w:rsid w:val="009E7E3B"/>
    <w:rsid w:val="009F19A3"/>
    <w:rsid w:val="00A05C24"/>
    <w:rsid w:val="00A10134"/>
    <w:rsid w:val="00A16021"/>
    <w:rsid w:val="00A21F53"/>
    <w:rsid w:val="00A273AB"/>
    <w:rsid w:val="00A35480"/>
    <w:rsid w:val="00A457FA"/>
    <w:rsid w:val="00A537E9"/>
    <w:rsid w:val="00A66678"/>
    <w:rsid w:val="00A71C55"/>
    <w:rsid w:val="00A73FB9"/>
    <w:rsid w:val="00A73FD4"/>
    <w:rsid w:val="00A76EFF"/>
    <w:rsid w:val="00A77239"/>
    <w:rsid w:val="00A82BDA"/>
    <w:rsid w:val="00A91DFF"/>
    <w:rsid w:val="00A93502"/>
    <w:rsid w:val="00A9634B"/>
    <w:rsid w:val="00AA6B8E"/>
    <w:rsid w:val="00AB0CA0"/>
    <w:rsid w:val="00AB58C7"/>
    <w:rsid w:val="00AC1AB4"/>
    <w:rsid w:val="00AC31D5"/>
    <w:rsid w:val="00AD0CF3"/>
    <w:rsid w:val="00AD1B59"/>
    <w:rsid w:val="00AD78DA"/>
    <w:rsid w:val="00AE5460"/>
    <w:rsid w:val="00AF2279"/>
    <w:rsid w:val="00AF46C7"/>
    <w:rsid w:val="00B054BD"/>
    <w:rsid w:val="00B055AE"/>
    <w:rsid w:val="00B11239"/>
    <w:rsid w:val="00B12D35"/>
    <w:rsid w:val="00B15C3B"/>
    <w:rsid w:val="00B16923"/>
    <w:rsid w:val="00B2126D"/>
    <w:rsid w:val="00B2302E"/>
    <w:rsid w:val="00B309BB"/>
    <w:rsid w:val="00B33904"/>
    <w:rsid w:val="00B35D74"/>
    <w:rsid w:val="00B40CDC"/>
    <w:rsid w:val="00B41318"/>
    <w:rsid w:val="00B51052"/>
    <w:rsid w:val="00B52B71"/>
    <w:rsid w:val="00B53035"/>
    <w:rsid w:val="00B56A1B"/>
    <w:rsid w:val="00B66C0C"/>
    <w:rsid w:val="00B75B1E"/>
    <w:rsid w:val="00B9222C"/>
    <w:rsid w:val="00BA19E1"/>
    <w:rsid w:val="00BA3200"/>
    <w:rsid w:val="00BB1890"/>
    <w:rsid w:val="00BC3191"/>
    <w:rsid w:val="00BD0FC5"/>
    <w:rsid w:val="00BD750F"/>
    <w:rsid w:val="00BE05BB"/>
    <w:rsid w:val="00BE64FA"/>
    <w:rsid w:val="00C01D83"/>
    <w:rsid w:val="00C22E65"/>
    <w:rsid w:val="00C247DE"/>
    <w:rsid w:val="00C3193B"/>
    <w:rsid w:val="00C37F21"/>
    <w:rsid w:val="00C431C3"/>
    <w:rsid w:val="00C502C8"/>
    <w:rsid w:val="00C53AE5"/>
    <w:rsid w:val="00C54394"/>
    <w:rsid w:val="00C626C2"/>
    <w:rsid w:val="00C649DC"/>
    <w:rsid w:val="00C664FD"/>
    <w:rsid w:val="00C749B5"/>
    <w:rsid w:val="00C95B6A"/>
    <w:rsid w:val="00CA0A75"/>
    <w:rsid w:val="00CA48CD"/>
    <w:rsid w:val="00CD2F9D"/>
    <w:rsid w:val="00CD51C5"/>
    <w:rsid w:val="00CE1006"/>
    <w:rsid w:val="00CF00D0"/>
    <w:rsid w:val="00D05D62"/>
    <w:rsid w:val="00D06620"/>
    <w:rsid w:val="00D07057"/>
    <w:rsid w:val="00D17899"/>
    <w:rsid w:val="00D24790"/>
    <w:rsid w:val="00D27292"/>
    <w:rsid w:val="00D35EFF"/>
    <w:rsid w:val="00D37290"/>
    <w:rsid w:val="00D47B22"/>
    <w:rsid w:val="00D560A2"/>
    <w:rsid w:val="00D56C84"/>
    <w:rsid w:val="00D56E7D"/>
    <w:rsid w:val="00D624F5"/>
    <w:rsid w:val="00D908D6"/>
    <w:rsid w:val="00D96D46"/>
    <w:rsid w:val="00DA413F"/>
    <w:rsid w:val="00DB6E54"/>
    <w:rsid w:val="00DC1F07"/>
    <w:rsid w:val="00DC53C9"/>
    <w:rsid w:val="00DD0C95"/>
    <w:rsid w:val="00DD5A89"/>
    <w:rsid w:val="00DE16E8"/>
    <w:rsid w:val="00DE296F"/>
    <w:rsid w:val="00DF6273"/>
    <w:rsid w:val="00E04447"/>
    <w:rsid w:val="00E1406A"/>
    <w:rsid w:val="00E17E53"/>
    <w:rsid w:val="00E3166C"/>
    <w:rsid w:val="00E40339"/>
    <w:rsid w:val="00E43BC7"/>
    <w:rsid w:val="00E47A1D"/>
    <w:rsid w:val="00E64C0C"/>
    <w:rsid w:val="00E80A46"/>
    <w:rsid w:val="00E81894"/>
    <w:rsid w:val="00E82D15"/>
    <w:rsid w:val="00E82FB4"/>
    <w:rsid w:val="00E92504"/>
    <w:rsid w:val="00EA3EBE"/>
    <w:rsid w:val="00EA46C8"/>
    <w:rsid w:val="00EA546A"/>
    <w:rsid w:val="00EA58B1"/>
    <w:rsid w:val="00EB5C70"/>
    <w:rsid w:val="00EB65A2"/>
    <w:rsid w:val="00EC11B2"/>
    <w:rsid w:val="00EC3164"/>
    <w:rsid w:val="00EC4DED"/>
    <w:rsid w:val="00EC6E1F"/>
    <w:rsid w:val="00EC73E8"/>
    <w:rsid w:val="00F0191D"/>
    <w:rsid w:val="00F053A3"/>
    <w:rsid w:val="00F05E35"/>
    <w:rsid w:val="00F06F55"/>
    <w:rsid w:val="00F170DA"/>
    <w:rsid w:val="00F20F14"/>
    <w:rsid w:val="00F27BF1"/>
    <w:rsid w:val="00F367FB"/>
    <w:rsid w:val="00F44ACF"/>
    <w:rsid w:val="00F6332A"/>
    <w:rsid w:val="00F736C7"/>
    <w:rsid w:val="00F77A16"/>
    <w:rsid w:val="00F77F99"/>
    <w:rsid w:val="00F87B0F"/>
    <w:rsid w:val="00F926D0"/>
    <w:rsid w:val="00F9402F"/>
    <w:rsid w:val="00FB4343"/>
    <w:rsid w:val="00FB727F"/>
    <w:rsid w:val="00FC20BC"/>
    <w:rsid w:val="00FC73EE"/>
    <w:rsid w:val="00FC7BF4"/>
    <w:rsid w:val="00FC7F09"/>
    <w:rsid w:val="00FD138B"/>
    <w:rsid w:val="00FE723F"/>
    <w:rsid w:val="00FF3FC1"/>
    <w:rsid w:val="00FF41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34B"/>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27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9402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294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4C68"/>
    <w:rPr>
      <w:rFonts w:ascii="Tahoma" w:hAnsi="Tahoma" w:cs="Tahoma"/>
      <w:sz w:val="16"/>
      <w:szCs w:val="16"/>
    </w:rPr>
  </w:style>
  <w:style w:type="paragraph" w:styleId="ListParagraph">
    <w:name w:val="List Paragraph"/>
    <w:basedOn w:val="Normal"/>
    <w:uiPriority w:val="34"/>
    <w:qFormat/>
    <w:rsid w:val="007D427F"/>
    <w:pPr>
      <w:ind w:left="720"/>
      <w:contextualSpacing/>
    </w:pPr>
  </w:style>
  <w:style w:type="character" w:styleId="Hyperlink">
    <w:name w:val="Hyperlink"/>
    <w:basedOn w:val="DefaultParagraphFont"/>
    <w:uiPriority w:val="99"/>
    <w:unhideWhenUsed/>
    <w:rsid w:val="002E3967"/>
    <w:rPr>
      <w:rFonts w:cs="Times New Roman"/>
      <w:color w:val="0000FF"/>
      <w:u w:val="single"/>
    </w:rPr>
  </w:style>
  <w:style w:type="paragraph" w:styleId="NoSpacing">
    <w:name w:val="No Spacing"/>
    <w:uiPriority w:val="1"/>
    <w:qFormat/>
    <w:rsid w:val="00D35EFF"/>
    <w:rPr>
      <w:sz w:val="22"/>
      <w:szCs w:val="22"/>
    </w:rPr>
  </w:style>
  <w:style w:type="paragraph" w:styleId="Header">
    <w:name w:val="header"/>
    <w:basedOn w:val="Normal"/>
    <w:link w:val="HeaderChar"/>
    <w:uiPriority w:val="99"/>
    <w:unhideWhenUsed/>
    <w:rsid w:val="004B78A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B78A8"/>
    <w:rPr>
      <w:rFonts w:cs="Times New Roman"/>
    </w:rPr>
  </w:style>
  <w:style w:type="paragraph" w:styleId="Footer">
    <w:name w:val="footer"/>
    <w:basedOn w:val="Normal"/>
    <w:link w:val="FooterChar"/>
    <w:uiPriority w:val="99"/>
    <w:unhideWhenUsed/>
    <w:rsid w:val="004B78A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B78A8"/>
    <w:rPr>
      <w:rFonts w:cs="Times New Roman"/>
    </w:rPr>
  </w:style>
  <w:style w:type="paragraph" w:styleId="FootnoteText">
    <w:name w:val="footnote text"/>
    <w:basedOn w:val="Normal"/>
    <w:link w:val="FootnoteTextChar"/>
    <w:uiPriority w:val="99"/>
    <w:semiHidden/>
    <w:unhideWhenUsed/>
    <w:rsid w:val="003C4B2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C4B20"/>
    <w:rPr>
      <w:rFonts w:cs="Times New Roman"/>
      <w:sz w:val="20"/>
      <w:szCs w:val="20"/>
    </w:rPr>
  </w:style>
  <w:style w:type="character" w:styleId="FootnoteReference">
    <w:name w:val="footnote reference"/>
    <w:basedOn w:val="DefaultParagraphFont"/>
    <w:uiPriority w:val="99"/>
    <w:semiHidden/>
    <w:unhideWhenUsed/>
    <w:rsid w:val="003C4B20"/>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938835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http://www.eirgrid.com/operations/systemperformancedata/all-islandwindandfuelmixreport" TargetMode="External"/><Relationship Id="rId2" Type="http://schemas.openxmlformats.org/officeDocument/2006/relationships/hyperlink" Target="http://www.soni.ltd.uk" TargetMode="External"/><Relationship Id="rId1" Type="http://schemas.openxmlformats.org/officeDocument/2006/relationships/hyperlink" Target="mailto:enquiries@soni.ltd.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CAF16-9D28-4A49-BF2C-E6CE9DF09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2</Pages>
  <Words>145</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SONI Ltd</Company>
  <LinksUpToDate>false</LinksUpToDate>
  <CharactersWithSpaces>921</CharactersWithSpaces>
  <SharedDoc>false</SharedDoc>
  <HLinks>
    <vt:vector size="12" baseType="variant">
      <vt:variant>
        <vt:i4>2687019</vt:i4>
      </vt:variant>
      <vt:variant>
        <vt:i4>3</vt:i4>
      </vt:variant>
      <vt:variant>
        <vt:i4>0</vt:i4>
      </vt:variant>
      <vt:variant>
        <vt:i4>5</vt:i4>
      </vt:variant>
      <vt:variant>
        <vt:lpwstr>http://www.soni.ltd.uk/</vt:lpwstr>
      </vt:variant>
      <vt:variant>
        <vt:lpwstr/>
      </vt:variant>
      <vt:variant>
        <vt:i4>458877</vt:i4>
      </vt:variant>
      <vt:variant>
        <vt:i4>0</vt:i4>
      </vt:variant>
      <vt:variant>
        <vt:i4>0</vt:i4>
      </vt:variant>
      <vt:variant>
        <vt:i4>5</vt:i4>
      </vt:variant>
      <vt:variant>
        <vt:lpwstr>mailto:enquiries@soni.ltd.uk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Istevenson</dc:creator>
  <cp:keywords/>
  <dc:description/>
  <cp:lastModifiedBy>istevenson</cp:lastModifiedBy>
  <cp:revision>125</cp:revision>
  <cp:lastPrinted>2012-07-17T16:04:00Z</cp:lastPrinted>
  <dcterms:created xsi:type="dcterms:W3CDTF">2011-12-12T10:51:00Z</dcterms:created>
  <dcterms:modified xsi:type="dcterms:W3CDTF">2012-10-16T10:48:00Z</dcterms:modified>
</cp:coreProperties>
</file>